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49EE1F77" w:rsidR="00F14FC7" w:rsidRDefault="00BF3EF6" w:rsidP="005E50B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2532D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PLATFORMA PRO SPRÁVU PROJEKTOVÉ DOKUMENTACE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648853D0" w:rsidR="00F14FC7" w:rsidRDefault="00BF3EF6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2532DE">
                <w:rPr>
                  <w:rStyle w:val="Hypertextovodkaz"/>
                  <w:rFonts w:eastAsia="Times New Roman" w:cs="Calibri"/>
                  <w:lang w:eastAsia="cs-CZ"/>
                </w:rPr>
                <w:t>https://ezak.cnpk.cz/vz00012458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D2F5D06" w:rsidR="00F14FC7" w:rsidRPr="00390D44" w:rsidRDefault="00BF3EF6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2532DE">
              <w:rPr>
                <w:rFonts w:eastAsia="Times New Roman" w:cs="Calibri"/>
                <w:b/>
                <w:lang w:eastAsia="cs-CZ"/>
              </w:rPr>
              <w:t>Klatovská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606C8553" w:rsidR="00F14FC7" w:rsidRPr="00EE351B" w:rsidRDefault="00BF3EF6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532DE">
              <w:rPr>
                <w:rFonts w:eastAsia="Times New Roman" w:cs="Calibri"/>
                <w:lang w:eastAsia="cs-CZ"/>
              </w:rPr>
              <w:t>Plzeňská 929, 369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0CFC533" w:rsidR="00F14FC7" w:rsidRPr="00EE351B" w:rsidRDefault="00BF3EF6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2532DE">
              <w:rPr>
                <w:rFonts w:eastAsia="Times New Roman" w:cs="Calibri"/>
                <w:lang w:eastAsia="cs-CZ"/>
              </w:rPr>
              <w:t>26360527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B329F38" w:rsidR="00F14FC7" w:rsidRPr="00EE351B" w:rsidRDefault="00EE351B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BF3EF6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BF3EF6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9CCCB32" w14:textId="77777777" w:rsidR="00BF3EF6" w:rsidRPr="00FF60C3" w:rsidRDefault="00BF3EF6" w:rsidP="00BF3EF6">
      <w:pPr>
        <w:pStyle w:val="Nadpis3"/>
        <w:spacing w:before="240"/>
      </w:pPr>
      <w:r w:rsidRPr="00FF60C3">
        <w:lastRenderedPageBreak/>
        <w:t xml:space="preserve">TECHNICKÁ KVALIFIKACE  </w:t>
      </w:r>
    </w:p>
    <w:p w14:paraId="509C2790" w14:textId="77777777" w:rsidR="00BF3EF6" w:rsidRDefault="00BF3EF6" w:rsidP="00BF3EF6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dodavatel splňuje požadavky zadavatele na technickou kvalifikaci:</w:t>
      </w:r>
    </w:p>
    <w:p w14:paraId="7F26E974" w14:textId="4DE43B29" w:rsidR="00BF3EF6" w:rsidRDefault="00BF3EF6" w:rsidP="00BF3EF6">
      <w:pPr>
        <w:pStyle w:val="Nadpis4"/>
        <w:spacing w:before="120" w:after="120" w:line="240" w:lineRule="auto"/>
      </w:pPr>
      <w:r>
        <w:rPr>
          <w:lang w:eastAsia="cs-CZ"/>
        </w:rPr>
        <w:t>Realizační tým – Koordinátor činnosti v systému pro správu projektové dokumentace (CDE)</w:t>
      </w:r>
    </w:p>
    <w:p w14:paraId="3B6218CF" w14:textId="445539AB" w:rsidR="00BF3EF6" w:rsidRDefault="00BF3EF6" w:rsidP="00BF3EF6">
      <w:pPr>
        <w:spacing w:before="120"/>
        <w:rPr>
          <w:lang w:eastAsia="cs-CZ"/>
        </w:rPr>
      </w:pPr>
      <w:r w:rsidRPr="00BF3EF6">
        <w:rPr>
          <w:lang w:eastAsia="cs-CZ"/>
        </w:rPr>
        <w:t xml:space="preserve">V posledních 10 letech před zahájením </w:t>
      </w:r>
      <w:r>
        <w:rPr>
          <w:lang w:eastAsia="cs-CZ"/>
        </w:rPr>
        <w:t>poptávkového</w:t>
      </w:r>
      <w:r w:rsidRPr="00BF3EF6">
        <w:rPr>
          <w:lang w:eastAsia="cs-CZ"/>
        </w:rPr>
        <w:t xml:space="preserve"> řízení prováděl činnost koordinátora CDE systému ve fázi realizace stavebního projektu, zpracování projektové dokumentace/modelu nebo při přezkoumání a autorizaci digitálního modelu stavby na minimálně 1 stavebním projektu - novostavba nebo stavebních úpravách objektu (případně budov v rámci jednoho areálu, realizovaných jako jedna zakázka v souvislém časovém úseku) dle klasifikace "CZ-CC - SEKCE 1 – BUDOVY s realizačními náklady nejméně 100.000.000 Kč bez DPH</w:t>
      </w:r>
      <w:r>
        <w:rPr>
          <w:lang w:eastAsia="cs-CZ"/>
        </w:rPr>
        <w:t>“.</w:t>
      </w:r>
    </w:p>
    <w:p w14:paraId="68501095" w14:textId="1022A30A" w:rsidR="00BF3EF6" w:rsidRDefault="00BF3EF6" w:rsidP="00BF3EF6">
      <w:pPr>
        <w:spacing w:before="120"/>
        <w:rPr>
          <w:lang w:eastAsia="cs-CZ"/>
        </w:rPr>
      </w:pPr>
      <w:r>
        <w:rPr>
          <w:lang w:eastAsia="cs-CZ"/>
        </w:rPr>
        <w:t>Způsob prokázání: dokumenty prokazující splnění výše uvedeného požadavku v nabídce</w:t>
      </w:r>
      <w:bookmarkStart w:id="0" w:name="_GoBack"/>
      <w:bookmarkEnd w:id="0"/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EE351B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B2BB040" w14:textId="77777777" w:rsidR="004275D5" w:rsidRDefault="005E7693" w:rsidP="00EE351B">
      <w:pPr>
        <w:spacing w:before="24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947702">
      <w:pPr>
        <w:spacing w:before="1320"/>
        <w:jc w:val="right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 w:rsidP="00EE351B">
      <w:pPr>
        <w:jc w:val="right"/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351B">
      <w:foot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EF6">
          <w:rPr>
            <w:noProof/>
          </w:rPr>
          <w:t>3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4847" w14:textId="3EBE496A" w:rsidR="006E0D1C" w:rsidRDefault="006E0D1C" w:rsidP="00947702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 xml:space="preserve">Příloha č. </w:t>
    </w:r>
    <w:r w:rsidR="00947702">
      <w:t xml:space="preserve">5 </w:t>
    </w:r>
    <w:r>
      <w:t>Č</w:t>
    </w:r>
    <w:r w:rsidR="00947702">
      <w:t>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3F6DC1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56B3F"/>
    <w:rsid w:val="00566798"/>
    <w:rsid w:val="005931BD"/>
    <w:rsid w:val="005C48B8"/>
    <w:rsid w:val="005D1B66"/>
    <w:rsid w:val="005E50B7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47702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BF3EF6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EE351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4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F212-8BE2-4306-87B4-90BCBF0F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9</cp:revision>
  <dcterms:created xsi:type="dcterms:W3CDTF">2024-01-26T13:47:00Z</dcterms:created>
  <dcterms:modified xsi:type="dcterms:W3CDTF">2026-04-10T12:25:00Z</dcterms:modified>
</cp:coreProperties>
</file>