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37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 w:rsidRPr="00E238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DE7B75" wp14:editId="54332559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503170" cy="767715"/>
            <wp:effectExtent l="19050" t="0" r="0" b="0"/>
            <wp:wrapTight wrapText="bothSides">
              <wp:wrapPolygon edited="0">
                <wp:start x="-164" y="0"/>
                <wp:lineTo x="-164" y="20903"/>
                <wp:lineTo x="21534" y="20903"/>
                <wp:lineTo x="21534" y="0"/>
                <wp:lineTo x="-164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895" name="hlavičkový papír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C07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3E2050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78C3F1CF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102080C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49F9C97B" w14:textId="77777777" w:rsidR="00EC1F43" w:rsidRPr="002B2D6E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0EB35671" w14:textId="56F03703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5C21F8">
        <w:rPr>
          <w:rFonts w:ascii="Arial" w:hAnsi="Arial" w:cs="Arial"/>
          <w:b/>
          <w:sz w:val="32"/>
          <w:szCs w:val="32"/>
        </w:rPr>
        <w:t>„</w:t>
      </w:r>
      <w:r w:rsidR="004F5388">
        <w:rPr>
          <w:rFonts w:ascii="Arial" w:hAnsi="Arial" w:cs="Arial"/>
          <w:b/>
          <w:sz w:val="32"/>
          <w:szCs w:val="32"/>
        </w:rPr>
        <w:t>TOEL</w:t>
      </w:r>
      <w:hyperlink r:id="rId9" w:history="1">
        <w:r w:rsidR="004F5388">
          <w:rPr>
            <w:rFonts w:ascii="Arial" w:hAnsi="Arial" w:cs="Arial"/>
            <w:b/>
            <w:sz w:val="32"/>
            <w:szCs w:val="32"/>
          </w:rPr>
          <w:t xml:space="preserve"> pro SÚSPK (202</w:t>
        </w:r>
        <w:r w:rsidR="00F37D8C">
          <w:rPr>
            <w:rFonts w:ascii="Arial" w:hAnsi="Arial" w:cs="Arial"/>
            <w:b/>
            <w:sz w:val="32"/>
            <w:szCs w:val="32"/>
          </w:rPr>
          <w:t>6</w:t>
        </w:r>
        <w:r w:rsidR="004F5388" w:rsidRPr="00EC1F43">
          <w:rPr>
            <w:rFonts w:ascii="Arial" w:hAnsi="Arial" w:cs="Arial"/>
            <w:b/>
            <w:sz w:val="32"/>
            <w:szCs w:val="32"/>
          </w:rPr>
          <w:t>)</w:t>
        </w:r>
      </w:hyperlink>
      <w:r w:rsidRPr="005C21F8">
        <w:rPr>
          <w:rFonts w:ascii="Arial" w:hAnsi="Arial" w:cs="Arial"/>
          <w:b/>
          <w:sz w:val="32"/>
          <w:szCs w:val="32"/>
        </w:rPr>
        <w:t>“</w:t>
      </w:r>
    </w:p>
    <w:p w14:paraId="1107EFF7" w14:textId="77777777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="00904307"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788D9212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6A29B758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5D6BA015" w14:textId="345D31CE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>
        <w:rPr>
          <w:rFonts w:ascii="Arial" w:eastAsia="Arial" w:hAnsi="Arial" w:cs="Arial"/>
          <w:sz w:val="20"/>
          <w:szCs w:val="20"/>
        </w:rPr>
        <w:tab/>
      </w:r>
    </w:p>
    <w:p w14:paraId="04E91BCD" w14:textId="798A60E0"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="00904307" w:rsidRPr="0053109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eastAsia="Arial" w:hAnsi="Arial" w:cs="Arial"/>
          <w:sz w:val="20"/>
          <w:szCs w:val="20"/>
        </w:rPr>
        <w:t>prodávajícího:</w:t>
      </w:r>
      <w:r w:rsidR="00904307">
        <w:rPr>
          <w:rFonts w:ascii="Arial" w:eastAsia="Arial" w:hAnsi="Arial" w:cs="Arial"/>
          <w:sz w:val="20"/>
          <w:szCs w:val="20"/>
        </w:rPr>
        <w:tab/>
      </w:r>
    </w:p>
    <w:p w14:paraId="7DDC3699" w14:textId="77777777" w:rsidR="00A30CBC" w:rsidRPr="00531096" w:rsidRDefault="00A30CBC" w:rsidP="00EC1F43">
      <w:pPr>
        <w:rPr>
          <w:rFonts w:ascii="Arial" w:eastAsia="Arial" w:hAnsi="Arial" w:cs="Arial"/>
          <w:sz w:val="20"/>
          <w:szCs w:val="20"/>
        </w:rPr>
      </w:pPr>
    </w:p>
    <w:p w14:paraId="3ADBB376" w14:textId="11099B7D" w:rsidR="00AC1202" w:rsidRDefault="00E0793C" w:rsidP="00AC1202">
      <w:pPr>
        <w:jc w:val="both"/>
        <w:rPr>
          <w:rFonts w:ascii="Arial" w:eastAsia="Arial" w:hAnsi="Arial" w:cs="Arial"/>
          <w:sz w:val="20"/>
          <w:szCs w:val="20"/>
        </w:rPr>
      </w:pPr>
      <w:r w:rsidRPr="00E0793C">
        <w:rPr>
          <w:rFonts w:ascii="Arial" w:eastAsia="Arial" w:hAnsi="Arial" w:cs="Arial"/>
          <w:sz w:val="20"/>
          <w:szCs w:val="20"/>
        </w:rPr>
        <w:t xml:space="preserve">Tato kupní smlouva je uzavřena na základě výsledku </w:t>
      </w:r>
      <w:r>
        <w:rPr>
          <w:rFonts w:ascii="Arial" w:eastAsia="Arial" w:hAnsi="Arial" w:cs="Arial"/>
          <w:sz w:val="20"/>
          <w:szCs w:val="20"/>
        </w:rPr>
        <w:t>poptávkového</w:t>
      </w:r>
      <w:r w:rsidRPr="00E0793C">
        <w:rPr>
          <w:rFonts w:ascii="Arial" w:eastAsia="Arial" w:hAnsi="Arial" w:cs="Arial"/>
          <w:sz w:val="20"/>
          <w:szCs w:val="20"/>
        </w:rPr>
        <w:t xml:space="preserve"> řízení veřejné zakázky evidované na profilu zadavatele pod systémovým číslem: P26V00000068</w:t>
      </w:r>
      <w:r w:rsidR="00EC1F43" w:rsidRPr="004F5388">
        <w:rPr>
          <w:rFonts w:ascii="Arial" w:eastAsia="Arial" w:hAnsi="Arial" w:cs="Arial"/>
          <w:sz w:val="20"/>
          <w:szCs w:val="20"/>
        </w:rPr>
        <w:t xml:space="preserve"> </w:t>
      </w:r>
    </w:p>
    <w:p w14:paraId="4BE5A681" w14:textId="77777777" w:rsidR="00E0793C" w:rsidRDefault="00E0793C" w:rsidP="00AC1202">
      <w:pPr>
        <w:jc w:val="both"/>
        <w:rPr>
          <w:rFonts w:ascii="Arial" w:hAnsi="Arial" w:cs="Arial"/>
          <w:sz w:val="20"/>
          <w:szCs w:val="20"/>
        </w:rPr>
      </w:pPr>
    </w:p>
    <w:p w14:paraId="7D9D3F01" w14:textId="2AEC7232" w:rsidR="003777AE" w:rsidRPr="001D45B6" w:rsidRDefault="003777AE" w:rsidP="00AC1202">
      <w:pPr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4870E97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1C4768D6" w14:textId="056267A6" w:rsidR="009B242F" w:rsidRPr="00DA6951" w:rsidRDefault="009B242F" w:rsidP="003F4DF7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proofErr w:type="gramStart"/>
      <w:r w:rsidRPr="00DA6951">
        <w:rPr>
          <w:rFonts w:ascii="Arial" w:hAnsi="Arial" w:cs="Arial"/>
          <w:b/>
          <w:sz w:val="20"/>
          <w:szCs w:val="20"/>
        </w:rPr>
        <w:t>p</w:t>
      </w:r>
      <w:r w:rsidR="00F13200">
        <w:rPr>
          <w:rFonts w:ascii="Arial" w:hAnsi="Arial" w:cs="Arial"/>
          <w:b/>
          <w:sz w:val="20"/>
          <w:szCs w:val="20"/>
        </w:rPr>
        <w:t>.o</w:t>
      </w:r>
      <w:proofErr w:type="spellEnd"/>
      <w:r w:rsidR="00F13200">
        <w:rPr>
          <w:rFonts w:ascii="Arial" w:hAnsi="Arial" w:cs="Arial"/>
          <w:b/>
          <w:sz w:val="20"/>
          <w:szCs w:val="20"/>
        </w:rPr>
        <w:t>.</w:t>
      </w:r>
      <w:proofErr w:type="gramEnd"/>
      <w:r w:rsidR="00DA3489">
        <w:rPr>
          <w:rFonts w:ascii="Arial" w:hAnsi="Arial" w:cs="Arial"/>
          <w:b/>
          <w:sz w:val="20"/>
          <w:szCs w:val="20"/>
        </w:rPr>
        <w:t xml:space="preserve"> </w:t>
      </w:r>
    </w:p>
    <w:p w14:paraId="7A8D9322" w14:textId="77777777" w:rsidR="009B242F" w:rsidRPr="00DA6951" w:rsidRDefault="009B242F" w:rsidP="003F4DF7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</w:t>
      </w:r>
      <w:proofErr w:type="spellStart"/>
      <w:r w:rsidRPr="00875044">
        <w:rPr>
          <w:sz w:val="20"/>
          <w:szCs w:val="20"/>
        </w:rPr>
        <w:t>sp</w:t>
      </w:r>
      <w:proofErr w:type="spellEnd"/>
      <w:r w:rsidRPr="00875044">
        <w:rPr>
          <w:sz w:val="20"/>
          <w:szCs w:val="20"/>
        </w:rPr>
        <w:t xml:space="preserve">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245284CD" w14:textId="77777777" w:rsidR="009B242F" w:rsidRPr="00844B71" w:rsidRDefault="009B242F" w:rsidP="003F4DF7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1756B9">
        <w:rPr>
          <w:sz w:val="20"/>
          <w:szCs w:val="20"/>
        </w:rPr>
        <w:t xml:space="preserve">Koterovská </w:t>
      </w:r>
      <w:r w:rsidR="00C93AAC">
        <w:rPr>
          <w:sz w:val="20"/>
          <w:szCs w:val="20"/>
        </w:rPr>
        <w:t>462/</w:t>
      </w:r>
      <w:r w:rsidR="001756B9">
        <w:rPr>
          <w:sz w:val="20"/>
          <w:szCs w:val="20"/>
        </w:rPr>
        <w:t>162,</w:t>
      </w:r>
      <w:r w:rsidR="00C93AAC">
        <w:rPr>
          <w:sz w:val="20"/>
          <w:szCs w:val="20"/>
        </w:rPr>
        <w:t xml:space="preserve"> Koterov,</w:t>
      </w:r>
      <w:r w:rsidR="001756B9">
        <w:rPr>
          <w:sz w:val="20"/>
          <w:szCs w:val="20"/>
        </w:rPr>
        <w:t xml:space="preserve"> 326 00 Plzeň</w:t>
      </w:r>
    </w:p>
    <w:p w14:paraId="0CBD7349" w14:textId="4BC82B45" w:rsidR="009B242F" w:rsidRPr="00844B71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statutární orgán</w:t>
      </w:r>
      <w:r w:rsidR="00C66A77">
        <w:rPr>
          <w:sz w:val="20"/>
          <w:szCs w:val="20"/>
        </w:rPr>
        <w:t>:</w:t>
      </w:r>
      <w:r w:rsidRPr="00844B71">
        <w:rPr>
          <w:sz w:val="20"/>
          <w:szCs w:val="20"/>
        </w:rPr>
        <w:t xml:space="preserve"> </w:t>
      </w:r>
      <w:r w:rsidR="009B242F" w:rsidRPr="00844B71">
        <w:rPr>
          <w:sz w:val="20"/>
          <w:szCs w:val="20"/>
        </w:rPr>
        <w:tab/>
      </w:r>
      <w:r w:rsidR="006316CB">
        <w:rPr>
          <w:sz w:val="20"/>
          <w:szCs w:val="20"/>
        </w:rPr>
        <w:t xml:space="preserve">Ing. </w:t>
      </w:r>
      <w:r w:rsidR="00FC5E52">
        <w:rPr>
          <w:sz w:val="20"/>
          <w:szCs w:val="20"/>
        </w:rPr>
        <w:t xml:space="preserve">Jiří Velíšek, </w:t>
      </w:r>
      <w:r w:rsidR="00F37D8C" w:rsidRPr="00500DD8">
        <w:rPr>
          <w:sz w:val="20"/>
          <w:szCs w:val="22"/>
        </w:rPr>
        <w:t>generální ředitel</w:t>
      </w:r>
    </w:p>
    <w:p w14:paraId="5AFC5D95" w14:textId="1D16769E" w:rsidR="009B242F" w:rsidRPr="00844B71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Pr="00844B71">
        <w:rPr>
          <w:sz w:val="20"/>
          <w:szCs w:val="20"/>
        </w:rPr>
        <w:t>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72053119</w:t>
      </w:r>
      <w:r w:rsidR="00913A2F" w:rsidRPr="00844B71">
        <w:rPr>
          <w:sz w:val="20"/>
          <w:szCs w:val="20"/>
        </w:rPr>
        <w:tab/>
      </w:r>
      <w:r w:rsidR="00913A2F" w:rsidRPr="00844B71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DIČ:</w:t>
      </w:r>
      <w:r w:rsidR="00EC3ED1">
        <w:rPr>
          <w:sz w:val="20"/>
          <w:szCs w:val="20"/>
        </w:rPr>
        <w:t xml:space="preserve"> </w:t>
      </w:r>
      <w:r w:rsidR="009B242F" w:rsidRPr="00844B71">
        <w:rPr>
          <w:sz w:val="20"/>
          <w:szCs w:val="20"/>
        </w:rPr>
        <w:t>CZ72053119</w:t>
      </w:r>
    </w:p>
    <w:p w14:paraId="1E9F0176" w14:textId="77777777" w:rsidR="009B242F" w:rsidRPr="00844B71" w:rsidRDefault="009B242F" w:rsidP="003F4DF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5507C7A9" w14:textId="0C35D580" w:rsidR="00913A2F" w:rsidRPr="00844B71" w:rsidRDefault="00436A2D" w:rsidP="003F4DF7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 xml:space="preserve">ontaktní osoba: </w:t>
      </w:r>
      <w:r w:rsidR="00886956">
        <w:rPr>
          <w:sz w:val="20"/>
          <w:szCs w:val="20"/>
        </w:rPr>
        <w:t>Daniel Žižka</w:t>
      </w:r>
      <w:r w:rsidR="00886956" w:rsidRPr="00844B71">
        <w:rPr>
          <w:sz w:val="20"/>
          <w:szCs w:val="20"/>
        </w:rPr>
        <w:t>, tel.:</w:t>
      </w:r>
      <w:r w:rsidR="00886956">
        <w:rPr>
          <w:sz w:val="20"/>
          <w:szCs w:val="20"/>
        </w:rPr>
        <w:t xml:space="preserve"> +420 771 230 997</w:t>
      </w:r>
      <w:r w:rsidR="00886956" w:rsidRPr="00844B71">
        <w:rPr>
          <w:sz w:val="20"/>
          <w:szCs w:val="20"/>
        </w:rPr>
        <w:t>, e</w:t>
      </w:r>
      <w:r w:rsidR="00845C82">
        <w:rPr>
          <w:sz w:val="20"/>
          <w:szCs w:val="20"/>
        </w:rPr>
        <w:t>-</w:t>
      </w:r>
      <w:r w:rsidR="00886956" w:rsidRPr="00844B71">
        <w:rPr>
          <w:sz w:val="20"/>
          <w:szCs w:val="20"/>
        </w:rPr>
        <w:t xml:space="preserve">mail: </w:t>
      </w:r>
      <w:hyperlink r:id="rId10" w:history="1">
        <w:r w:rsidR="00886956" w:rsidRPr="0023553D">
          <w:rPr>
            <w:rStyle w:val="Hypertextovodkaz"/>
            <w:sz w:val="20"/>
            <w:szCs w:val="20"/>
          </w:rPr>
          <w:t>daniel.zizka@suspk.eu</w:t>
        </w:r>
      </w:hyperlink>
    </w:p>
    <w:p w14:paraId="2683764A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C5DAAD5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06F7ED3" w14:textId="77777777" w:rsidR="00EC1F43" w:rsidRPr="003F69E9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0"/>
          <w:szCs w:val="20"/>
        </w:rPr>
      </w:pPr>
      <w:r w:rsidRPr="003F69E9">
        <w:rPr>
          <w:rFonts w:ascii="Arial" w:eastAsia="Arial" w:hAnsi="Arial" w:cs="Arial"/>
          <w:b/>
          <w:sz w:val="20"/>
          <w:szCs w:val="20"/>
        </w:rPr>
        <w:t>a</w:t>
      </w:r>
    </w:p>
    <w:p w14:paraId="60614F80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12BBC9B9" w14:textId="77777777" w:rsidR="00436A2D" w:rsidRPr="008B398B" w:rsidRDefault="00436A2D" w:rsidP="00436A2D">
      <w:pPr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Pr="008B398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8B398B">
        <w:rPr>
          <w:rFonts w:ascii="Arial" w:hAnsi="Arial" w:cs="Arial"/>
          <w:b/>
          <w:sz w:val="20"/>
          <w:szCs w:val="20"/>
          <w:highlight w:val="yellow"/>
        </w:rPr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8B398B">
        <w:rPr>
          <w:rFonts w:ascii="Arial" w:hAnsi="Arial" w:cs="Arial"/>
          <w:b/>
          <w:noProof/>
          <w:sz w:val="20"/>
          <w:szCs w:val="20"/>
          <w:highlight w:val="yellow"/>
        </w:rPr>
        <w:t>název prodávajícího</w:t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49367880" w14:textId="77777777" w:rsidR="00436A2D" w:rsidRPr="00531096" w:rsidRDefault="00436A2D" w:rsidP="00436A2D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zapsaná v obchodním rejstříku pod </w:t>
      </w:r>
      <w:proofErr w:type="spellStart"/>
      <w:r w:rsidRPr="00531096">
        <w:rPr>
          <w:rFonts w:ascii="Arial" w:hAnsi="Arial" w:cs="Arial"/>
          <w:sz w:val="20"/>
          <w:szCs w:val="20"/>
          <w:highlight w:val="yellow"/>
        </w:rPr>
        <w:t>sp</w:t>
      </w:r>
      <w:proofErr w:type="spellEnd"/>
      <w:r w:rsidRPr="00531096">
        <w:rPr>
          <w:rFonts w:ascii="Arial" w:hAnsi="Arial" w:cs="Arial"/>
          <w:sz w:val="20"/>
          <w:szCs w:val="20"/>
          <w:highlight w:val="yellow"/>
        </w:rPr>
        <w:t>. zn.:</w:t>
      </w:r>
      <w:bookmarkStart w:id="1" w:name="Text1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531096">
        <w:rPr>
          <w:rFonts w:ascii="Arial" w:hAnsi="Arial" w:cs="Arial"/>
          <w:sz w:val="20"/>
          <w:szCs w:val="20"/>
          <w:highlight w:val="yellow"/>
        </w:rPr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1"/>
      <w:r w:rsidRPr="00531096">
        <w:rPr>
          <w:rFonts w:ascii="Arial" w:hAnsi="Arial" w:cs="Arial"/>
          <w:sz w:val="20"/>
          <w:szCs w:val="20"/>
          <w:highlight w:val="yellow"/>
        </w:rPr>
        <w:t xml:space="preserve"> vedenou u </w:t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531096">
        <w:rPr>
          <w:rFonts w:ascii="Arial" w:hAnsi="Arial" w:cs="Arial"/>
          <w:sz w:val="20"/>
          <w:szCs w:val="20"/>
          <w:highlight w:val="yellow"/>
        </w:rPr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9B9AC7A" w14:textId="7FEB3031" w:rsidR="00436A2D" w:rsidRPr="00845C82" w:rsidRDefault="00436A2D" w:rsidP="00845C82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845C82">
        <w:rPr>
          <w:sz w:val="20"/>
          <w:szCs w:val="20"/>
          <w:highlight w:val="yellow"/>
        </w:rPr>
        <w:t>sídlo:</w:t>
      </w:r>
      <w:r w:rsidRPr="00845C82">
        <w:rPr>
          <w:sz w:val="20"/>
          <w:szCs w:val="20"/>
          <w:highlight w:val="yellow"/>
        </w:rPr>
        <w:tab/>
      </w:r>
      <w:r w:rsidRPr="00845C82">
        <w:rPr>
          <w:sz w:val="20"/>
          <w:szCs w:val="20"/>
          <w:highlight w:val="yellow"/>
        </w:rPr>
        <w:tab/>
      </w:r>
      <w:r w:rsidRPr="00845C82">
        <w:rPr>
          <w:sz w:val="20"/>
          <w:szCs w:val="20"/>
          <w:highlight w:val="yellow"/>
        </w:rPr>
        <w:tab/>
      </w:r>
      <w:r w:rsidRPr="00845C82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845C82">
        <w:rPr>
          <w:sz w:val="20"/>
          <w:szCs w:val="20"/>
          <w:highlight w:val="yellow"/>
        </w:rPr>
        <w:instrText>FORMTEXT</w:instrText>
      </w:r>
      <w:r w:rsidRPr="00845C82">
        <w:rPr>
          <w:sz w:val="20"/>
          <w:szCs w:val="20"/>
          <w:highlight w:val="yellow"/>
        </w:rPr>
      </w:r>
      <w:r w:rsidRPr="00845C82">
        <w:rPr>
          <w:sz w:val="20"/>
          <w:szCs w:val="20"/>
          <w:highlight w:val="yellow"/>
        </w:rPr>
        <w:fldChar w:fldCharType="separate"/>
      </w:r>
      <w:r w:rsidRPr="00845C82">
        <w:rPr>
          <w:sz w:val="20"/>
          <w:szCs w:val="20"/>
          <w:highlight w:val="yellow"/>
        </w:rPr>
        <w:t>     </w:t>
      </w:r>
      <w:r w:rsidRPr="00845C82">
        <w:rPr>
          <w:sz w:val="20"/>
          <w:szCs w:val="20"/>
          <w:highlight w:val="yellow"/>
        </w:rPr>
        <w:fldChar w:fldCharType="end"/>
      </w:r>
    </w:p>
    <w:p w14:paraId="731AA653" w14:textId="595D7188" w:rsidR="00436A2D" w:rsidRPr="00845C82" w:rsidRDefault="00436A2D" w:rsidP="00845C82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845C82">
        <w:rPr>
          <w:sz w:val="20"/>
          <w:szCs w:val="20"/>
          <w:highlight w:val="yellow"/>
        </w:rPr>
        <w:t>zastoupená:</w:t>
      </w:r>
      <w:r w:rsidRPr="00845C82">
        <w:rPr>
          <w:sz w:val="20"/>
          <w:szCs w:val="20"/>
          <w:highlight w:val="yellow"/>
        </w:rPr>
        <w:tab/>
      </w:r>
      <w:r w:rsidRPr="00845C82">
        <w:rPr>
          <w:sz w:val="20"/>
          <w:szCs w:val="20"/>
          <w:highlight w:val="yellow"/>
        </w:rPr>
        <w:tab/>
      </w:r>
      <w:r w:rsidRPr="00845C82">
        <w:rPr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845C82">
        <w:rPr>
          <w:sz w:val="20"/>
          <w:szCs w:val="20"/>
          <w:highlight w:val="yellow"/>
        </w:rPr>
        <w:instrText>FORMTEXT</w:instrText>
      </w:r>
      <w:r w:rsidRPr="00845C82">
        <w:rPr>
          <w:sz w:val="20"/>
          <w:szCs w:val="20"/>
          <w:highlight w:val="yellow"/>
        </w:rPr>
      </w:r>
      <w:r w:rsidRPr="00845C82">
        <w:rPr>
          <w:sz w:val="20"/>
          <w:szCs w:val="20"/>
          <w:highlight w:val="yellow"/>
        </w:rPr>
        <w:fldChar w:fldCharType="separate"/>
      </w:r>
      <w:r w:rsidRPr="00845C82">
        <w:rPr>
          <w:sz w:val="20"/>
          <w:szCs w:val="20"/>
          <w:highlight w:val="yellow"/>
        </w:rPr>
        <w:t>     </w:t>
      </w:r>
      <w:r w:rsidRPr="00845C82">
        <w:rPr>
          <w:sz w:val="20"/>
          <w:szCs w:val="20"/>
          <w:highlight w:val="yellow"/>
        </w:rPr>
        <w:fldChar w:fldCharType="end"/>
      </w:r>
    </w:p>
    <w:p w14:paraId="606BAE78" w14:textId="1A2A0BF5" w:rsidR="00436A2D" w:rsidRPr="00845C82" w:rsidRDefault="00436A2D" w:rsidP="00845C82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845C82">
        <w:rPr>
          <w:sz w:val="20"/>
          <w:szCs w:val="20"/>
          <w:highlight w:val="yellow"/>
        </w:rPr>
        <w:t>IČO:</w:t>
      </w:r>
      <w:r w:rsidRPr="00845C82">
        <w:rPr>
          <w:sz w:val="20"/>
          <w:szCs w:val="20"/>
          <w:highlight w:val="yellow"/>
        </w:rPr>
        <w:tab/>
      </w:r>
      <w:r w:rsidRPr="00845C82">
        <w:rPr>
          <w:sz w:val="20"/>
          <w:szCs w:val="20"/>
          <w:highlight w:val="yellow"/>
        </w:rPr>
        <w:tab/>
      </w:r>
      <w:r w:rsidRPr="00845C82">
        <w:rPr>
          <w:sz w:val="20"/>
          <w:szCs w:val="20"/>
          <w:highlight w:val="yellow"/>
        </w:rPr>
        <w:tab/>
      </w:r>
      <w:r w:rsidRPr="00845C82">
        <w:rPr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845C82">
        <w:rPr>
          <w:sz w:val="20"/>
          <w:szCs w:val="20"/>
          <w:highlight w:val="yellow"/>
        </w:rPr>
        <w:instrText>FORMTEXT</w:instrText>
      </w:r>
      <w:r w:rsidRPr="00845C82">
        <w:rPr>
          <w:sz w:val="20"/>
          <w:szCs w:val="20"/>
          <w:highlight w:val="yellow"/>
        </w:rPr>
      </w:r>
      <w:r w:rsidRPr="00845C82">
        <w:rPr>
          <w:sz w:val="20"/>
          <w:szCs w:val="20"/>
          <w:highlight w:val="yellow"/>
        </w:rPr>
        <w:fldChar w:fldCharType="separate"/>
      </w:r>
      <w:r w:rsidRPr="00845C82">
        <w:rPr>
          <w:sz w:val="20"/>
          <w:szCs w:val="20"/>
          <w:highlight w:val="yellow"/>
        </w:rPr>
        <w:t>     </w:t>
      </w:r>
      <w:r w:rsidRPr="00845C82">
        <w:rPr>
          <w:sz w:val="20"/>
          <w:szCs w:val="20"/>
          <w:highlight w:val="yellow"/>
        </w:rPr>
        <w:fldChar w:fldCharType="end"/>
      </w:r>
      <w:r w:rsidRPr="00845C82">
        <w:rPr>
          <w:sz w:val="20"/>
          <w:szCs w:val="20"/>
          <w:highlight w:val="yellow"/>
        </w:rPr>
        <w:tab/>
        <w:t>DIČ:</w:t>
      </w:r>
      <w:r w:rsidRPr="00845C82">
        <w:rPr>
          <w:sz w:val="20"/>
          <w:szCs w:val="20"/>
          <w:highlight w:val="yellow"/>
        </w:rPr>
        <w:tab/>
      </w:r>
      <w:r w:rsidRPr="00845C82">
        <w:rPr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845C82">
        <w:rPr>
          <w:sz w:val="20"/>
          <w:szCs w:val="20"/>
          <w:highlight w:val="yellow"/>
        </w:rPr>
        <w:instrText>FORMTEXT</w:instrText>
      </w:r>
      <w:r w:rsidRPr="00845C82">
        <w:rPr>
          <w:sz w:val="20"/>
          <w:szCs w:val="20"/>
          <w:highlight w:val="yellow"/>
        </w:rPr>
      </w:r>
      <w:r w:rsidRPr="00845C82">
        <w:rPr>
          <w:sz w:val="20"/>
          <w:szCs w:val="20"/>
          <w:highlight w:val="yellow"/>
        </w:rPr>
        <w:fldChar w:fldCharType="separate"/>
      </w:r>
      <w:r w:rsidRPr="00845C82">
        <w:rPr>
          <w:sz w:val="20"/>
          <w:szCs w:val="20"/>
          <w:highlight w:val="yellow"/>
        </w:rPr>
        <w:t>     </w:t>
      </w:r>
      <w:r w:rsidRPr="00845C82">
        <w:rPr>
          <w:sz w:val="20"/>
          <w:szCs w:val="20"/>
          <w:highlight w:val="yellow"/>
        </w:rPr>
        <w:fldChar w:fldCharType="end"/>
      </w:r>
      <w:r w:rsidRPr="00845C82">
        <w:rPr>
          <w:sz w:val="20"/>
          <w:szCs w:val="20"/>
          <w:highlight w:val="yellow"/>
        </w:rPr>
        <w:t xml:space="preserve"> </w:t>
      </w:r>
    </w:p>
    <w:p w14:paraId="1E11163A" w14:textId="52CDAC52" w:rsidR="00436A2D" w:rsidRPr="00845C82" w:rsidRDefault="00436A2D" w:rsidP="00845C82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845C82">
        <w:rPr>
          <w:sz w:val="20"/>
          <w:szCs w:val="20"/>
          <w:highlight w:val="yellow"/>
        </w:rPr>
        <w:t>telefon:</w:t>
      </w:r>
      <w:r w:rsidRPr="00845C82">
        <w:rPr>
          <w:sz w:val="20"/>
          <w:szCs w:val="20"/>
          <w:highlight w:val="yellow"/>
        </w:rPr>
        <w:tab/>
      </w:r>
      <w:bookmarkStart w:id="2" w:name="Text12"/>
      <w:r w:rsidRPr="00845C82">
        <w:rPr>
          <w:sz w:val="20"/>
          <w:szCs w:val="20"/>
          <w:highlight w:val="yellow"/>
        </w:rPr>
        <w:tab/>
      </w:r>
      <w:r w:rsidRPr="00845C82">
        <w:rPr>
          <w:sz w:val="20"/>
          <w:szCs w:val="20"/>
          <w:highlight w:val="yellow"/>
        </w:rPr>
        <w:tab/>
      </w:r>
      <w:r w:rsidRPr="00845C82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845C82">
        <w:rPr>
          <w:sz w:val="20"/>
          <w:szCs w:val="20"/>
          <w:highlight w:val="yellow"/>
        </w:rPr>
        <w:instrText>FORMTEXT</w:instrText>
      </w:r>
      <w:r w:rsidRPr="00845C82">
        <w:rPr>
          <w:sz w:val="20"/>
          <w:szCs w:val="20"/>
          <w:highlight w:val="yellow"/>
        </w:rPr>
      </w:r>
      <w:r w:rsidRPr="00845C82">
        <w:rPr>
          <w:sz w:val="20"/>
          <w:szCs w:val="20"/>
          <w:highlight w:val="yellow"/>
        </w:rPr>
        <w:fldChar w:fldCharType="separate"/>
      </w:r>
      <w:r w:rsidRPr="00845C82">
        <w:rPr>
          <w:sz w:val="20"/>
          <w:szCs w:val="20"/>
          <w:highlight w:val="yellow"/>
        </w:rPr>
        <w:t>     </w:t>
      </w:r>
      <w:r w:rsidRPr="00845C82">
        <w:rPr>
          <w:sz w:val="20"/>
          <w:szCs w:val="20"/>
          <w:highlight w:val="yellow"/>
        </w:rPr>
        <w:fldChar w:fldCharType="end"/>
      </w:r>
      <w:bookmarkEnd w:id="2"/>
      <w:r w:rsidRPr="00845C82">
        <w:rPr>
          <w:sz w:val="20"/>
          <w:szCs w:val="20"/>
          <w:highlight w:val="yellow"/>
        </w:rPr>
        <w:tab/>
        <w:t>e-mail:</w:t>
      </w:r>
      <w:bookmarkStart w:id="3" w:name="Text63"/>
      <w:r w:rsidRPr="00845C82">
        <w:rPr>
          <w:sz w:val="20"/>
          <w:szCs w:val="20"/>
          <w:highlight w:val="yellow"/>
        </w:rPr>
        <w:t xml:space="preserve"> </w:t>
      </w:r>
      <w:r w:rsidRPr="00845C82">
        <w:rPr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845C82">
        <w:rPr>
          <w:sz w:val="20"/>
          <w:szCs w:val="20"/>
          <w:highlight w:val="yellow"/>
        </w:rPr>
        <w:instrText>FORMTEXT</w:instrText>
      </w:r>
      <w:r w:rsidRPr="00845C82">
        <w:rPr>
          <w:sz w:val="20"/>
          <w:szCs w:val="20"/>
          <w:highlight w:val="yellow"/>
        </w:rPr>
      </w:r>
      <w:r w:rsidRPr="00845C82">
        <w:rPr>
          <w:sz w:val="20"/>
          <w:szCs w:val="20"/>
          <w:highlight w:val="yellow"/>
        </w:rPr>
        <w:fldChar w:fldCharType="separate"/>
      </w:r>
      <w:r w:rsidRPr="00845C82">
        <w:rPr>
          <w:sz w:val="20"/>
          <w:szCs w:val="20"/>
          <w:highlight w:val="yellow"/>
        </w:rPr>
        <w:t>     </w:t>
      </w:r>
      <w:r w:rsidRPr="00845C82">
        <w:rPr>
          <w:sz w:val="20"/>
          <w:szCs w:val="20"/>
          <w:highlight w:val="yellow"/>
        </w:rPr>
        <w:fldChar w:fldCharType="end"/>
      </w:r>
      <w:bookmarkEnd w:id="3"/>
    </w:p>
    <w:p w14:paraId="108E6060" w14:textId="013C0FBA" w:rsidR="00436A2D" w:rsidRPr="00845C82" w:rsidRDefault="00436A2D" w:rsidP="00845C82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845C82">
        <w:rPr>
          <w:sz w:val="20"/>
          <w:szCs w:val="20"/>
          <w:highlight w:val="yellow"/>
        </w:rPr>
        <w:t>datová schránka:</w:t>
      </w:r>
      <w:r w:rsidRPr="00845C82">
        <w:rPr>
          <w:sz w:val="20"/>
          <w:szCs w:val="20"/>
          <w:highlight w:val="yellow"/>
        </w:rPr>
        <w:tab/>
      </w:r>
      <w:bookmarkStart w:id="4" w:name="Text14"/>
      <w:r w:rsidRPr="00845C82">
        <w:rPr>
          <w:sz w:val="20"/>
          <w:szCs w:val="20"/>
          <w:highlight w:val="yellow"/>
        </w:rPr>
        <w:tab/>
      </w:r>
      <w:r w:rsidRPr="00845C82">
        <w:rPr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845C82">
        <w:rPr>
          <w:sz w:val="20"/>
          <w:szCs w:val="20"/>
          <w:highlight w:val="yellow"/>
        </w:rPr>
        <w:instrText>FORMTEXT</w:instrText>
      </w:r>
      <w:r w:rsidRPr="00845C82">
        <w:rPr>
          <w:sz w:val="20"/>
          <w:szCs w:val="20"/>
          <w:highlight w:val="yellow"/>
        </w:rPr>
      </w:r>
      <w:r w:rsidRPr="00845C82">
        <w:rPr>
          <w:sz w:val="20"/>
          <w:szCs w:val="20"/>
          <w:highlight w:val="yellow"/>
        </w:rPr>
        <w:fldChar w:fldCharType="separate"/>
      </w:r>
      <w:r w:rsidRPr="00845C82">
        <w:rPr>
          <w:sz w:val="20"/>
          <w:szCs w:val="20"/>
          <w:highlight w:val="yellow"/>
        </w:rPr>
        <w:t>     </w:t>
      </w:r>
      <w:r w:rsidRPr="00845C82">
        <w:rPr>
          <w:sz w:val="20"/>
          <w:szCs w:val="20"/>
          <w:highlight w:val="yellow"/>
        </w:rPr>
        <w:fldChar w:fldCharType="end"/>
      </w:r>
      <w:bookmarkEnd w:id="4"/>
    </w:p>
    <w:p w14:paraId="41140A48" w14:textId="6BCE1D24" w:rsidR="00436A2D" w:rsidRPr="00845C82" w:rsidRDefault="00436A2D" w:rsidP="00845C82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845C82">
        <w:rPr>
          <w:sz w:val="20"/>
          <w:szCs w:val="20"/>
          <w:highlight w:val="yellow"/>
        </w:rPr>
        <w:t xml:space="preserve">kontaktní osoba: </w:t>
      </w:r>
      <w:r w:rsidRPr="00845C82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845C82">
        <w:rPr>
          <w:sz w:val="20"/>
          <w:szCs w:val="20"/>
          <w:highlight w:val="yellow"/>
        </w:rPr>
        <w:instrText>FORMTEXT</w:instrText>
      </w:r>
      <w:r w:rsidRPr="00845C82">
        <w:rPr>
          <w:sz w:val="20"/>
          <w:szCs w:val="20"/>
          <w:highlight w:val="yellow"/>
        </w:rPr>
      </w:r>
      <w:r w:rsidRPr="00845C82">
        <w:rPr>
          <w:sz w:val="20"/>
          <w:szCs w:val="20"/>
          <w:highlight w:val="yellow"/>
        </w:rPr>
        <w:fldChar w:fldCharType="separate"/>
      </w:r>
      <w:r w:rsidRPr="00845C82">
        <w:rPr>
          <w:sz w:val="20"/>
          <w:szCs w:val="20"/>
          <w:highlight w:val="yellow"/>
        </w:rPr>
        <w:t>     </w:t>
      </w:r>
      <w:r w:rsidRPr="00845C82">
        <w:rPr>
          <w:sz w:val="20"/>
          <w:szCs w:val="20"/>
          <w:highlight w:val="yellow"/>
        </w:rPr>
        <w:fldChar w:fldCharType="end"/>
      </w:r>
      <w:r w:rsidRPr="00845C82">
        <w:rPr>
          <w:sz w:val="20"/>
          <w:szCs w:val="20"/>
          <w:highlight w:val="yellow"/>
        </w:rPr>
        <w:t>, tel.</w:t>
      </w:r>
      <w:r w:rsidR="00845C82" w:rsidRPr="00845C82">
        <w:rPr>
          <w:sz w:val="20"/>
          <w:szCs w:val="20"/>
          <w:highlight w:val="yellow"/>
        </w:rPr>
        <w:t>:</w:t>
      </w:r>
      <w:r w:rsidRPr="00845C82">
        <w:rPr>
          <w:sz w:val="20"/>
          <w:szCs w:val="20"/>
          <w:highlight w:val="yellow"/>
        </w:rPr>
        <w:t xml:space="preserve"> </w:t>
      </w:r>
      <w:r w:rsidRPr="00845C82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845C82">
        <w:rPr>
          <w:sz w:val="20"/>
          <w:szCs w:val="20"/>
          <w:highlight w:val="yellow"/>
        </w:rPr>
        <w:instrText>FORMTEXT</w:instrText>
      </w:r>
      <w:r w:rsidRPr="00845C82">
        <w:rPr>
          <w:sz w:val="20"/>
          <w:szCs w:val="20"/>
          <w:highlight w:val="yellow"/>
        </w:rPr>
      </w:r>
      <w:r w:rsidRPr="00845C82">
        <w:rPr>
          <w:sz w:val="20"/>
          <w:szCs w:val="20"/>
          <w:highlight w:val="yellow"/>
        </w:rPr>
        <w:fldChar w:fldCharType="separate"/>
      </w:r>
      <w:r w:rsidRPr="00845C82">
        <w:rPr>
          <w:sz w:val="20"/>
          <w:szCs w:val="20"/>
          <w:highlight w:val="yellow"/>
        </w:rPr>
        <w:t>     </w:t>
      </w:r>
      <w:r w:rsidRPr="00845C82">
        <w:rPr>
          <w:sz w:val="20"/>
          <w:szCs w:val="20"/>
          <w:highlight w:val="yellow"/>
        </w:rPr>
        <w:fldChar w:fldCharType="end"/>
      </w:r>
      <w:r w:rsidRPr="00845C82">
        <w:rPr>
          <w:sz w:val="20"/>
          <w:szCs w:val="20"/>
          <w:highlight w:val="yellow"/>
        </w:rPr>
        <w:t>, e-mail:</w:t>
      </w:r>
      <w:bookmarkStart w:id="5" w:name="Text15"/>
      <w:r w:rsidRPr="00845C82">
        <w:rPr>
          <w:sz w:val="20"/>
          <w:szCs w:val="20"/>
          <w:highlight w:val="yellow"/>
        </w:rPr>
        <w:t xml:space="preserve"> </w:t>
      </w:r>
      <w:r w:rsidRPr="00845C82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845C82">
        <w:rPr>
          <w:sz w:val="20"/>
          <w:szCs w:val="20"/>
          <w:highlight w:val="yellow"/>
        </w:rPr>
        <w:instrText>FORMTEXT</w:instrText>
      </w:r>
      <w:r w:rsidRPr="00845C82">
        <w:rPr>
          <w:sz w:val="20"/>
          <w:szCs w:val="20"/>
          <w:highlight w:val="yellow"/>
        </w:rPr>
      </w:r>
      <w:r w:rsidRPr="00845C82">
        <w:rPr>
          <w:sz w:val="20"/>
          <w:szCs w:val="20"/>
          <w:highlight w:val="yellow"/>
        </w:rPr>
        <w:fldChar w:fldCharType="separate"/>
      </w:r>
      <w:r w:rsidRPr="00845C82">
        <w:rPr>
          <w:sz w:val="20"/>
          <w:szCs w:val="20"/>
          <w:highlight w:val="yellow"/>
        </w:rPr>
        <w:t>     </w:t>
      </w:r>
      <w:r w:rsidRPr="00845C82">
        <w:rPr>
          <w:sz w:val="20"/>
          <w:szCs w:val="20"/>
          <w:highlight w:val="yellow"/>
        </w:rPr>
        <w:fldChar w:fldCharType="end"/>
      </w:r>
      <w:bookmarkEnd w:id="5"/>
    </w:p>
    <w:p w14:paraId="6284F81E" w14:textId="38DB49F8" w:rsidR="007E1950" w:rsidRPr="00845C82" w:rsidRDefault="00436A2D" w:rsidP="00436A2D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845C82">
        <w:rPr>
          <w:sz w:val="20"/>
          <w:szCs w:val="20"/>
          <w:highlight w:val="yellow"/>
        </w:rPr>
        <w:t xml:space="preserve">korespondenční adresa, je-li odlišná od sídla: </w:t>
      </w:r>
      <w:r w:rsidRPr="00845C82">
        <w:rPr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845C82">
        <w:rPr>
          <w:sz w:val="20"/>
          <w:szCs w:val="20"/>
          <w:highlight w:val="yellow"/>
        </w:rPr>
        <w:instrText>FORMTEXT</w:instrText>
      </w:r>
      <w:r w:rsidRPr="00845C82">
        <w:rPr>
          <w:sz w:val="20"/>
          <w:szCs w:val="20"/>
          <w:highlight w:val="yellow"/>
        </w:rPr>
      </w:r>
      <w:r w:rsidRPr="00845C82">
        <w:rPr>
          <w:sz w:val="20"/>
          <w:szCs w:val="20"/>
          <w:highlight w:val="yellow"/>
        </w:rPr>
        <w:fldChar w:fldCharType="separate"/>
      </w:r>
      <w:r w:rsidRPr="00845C82">
        <w:rPr>
          <w:sz w:val="20"/>
          <w:szCs w:val="20"/>
          <w:highlight w:val="yellow"/>
        </w:rPr>
        <w:t>     </w:t>
      </w:r>
      <w:r w:rsidRPr="00845C82">
        <w:rPr>
          <w:sz w:val="20"/>
          <w:szCs w:val="20"/>
          <w:highlight w:val="yellow"/>
        </w:rPr>
        <w:fldChar w:fldCharType="end"/>
      </w:r>
      <w:r w:rsidR="008D2E34" w:rsidRPr="00845C82">
        <w:rPr>
          <w:sz w:val="20"/>
          <w:szCs w:val="20"/>
          <w:highlight w:val="yellow"/>
        </w:rPr>
        <w:t xml:space="preserve"> </w:t>
      </w:r>
    </w:p>
    <w:p w14:paraId="11583096" w14:textId="0D6CB2E1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1E172314" w14:textId="77777777" w:rsidR="000700DC" w:rsidRDefault="000700DC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14:paraId="7F4C9918" w14:textId="77777777" w:rsidR="008252CD" w:rsidRPr="00293210" w:rsidRDefault="008252CD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389A2D2C" w14:textId="11C132D6" w:rsidR="00B93647" w:rsidRPr="0088671C" w:rsidRDefault="008252CD" w:rsidP="00643368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9C2BF9">
        <w:rPr>
          <w:rFonts w:ascii="Arial" w:hAnsi="Arial" w:cs="Arial"/>
          <w:kern w:val="32"/>
          <w:sz w:val="20"/>
          <w:szCs w:val="20"/>
        </w:rPr>
        <w:t xml:space="preserve">kupní smlouvy </w:t>
      </w:r>
      <w:proofErr w:type="gramStart"/>
      <w:r w:rsidRPr="008E65C2">
        <w:rPr>
          <w:rFonts w:ascii="Arial" w:hAnsi="Arial" w:cs="Arial"/>
          <w:sz w:val="20"/>
          <w:szCs w:val="20"/>
        </w:rPr>
        <w:t>je</w:t>
      </w:r>
      <w:proofErr w:type="gramEnd"/>
      <w:r w:rsidRPr="008E65C2">
        <w:rPr>
          <w:rFonts w:ascii="Arial" w:hAnsi="Arial" w:cs="Arial"/>
          <w:sz w:val="20"/>
          <w:szCs w:val="20"/>
        </w:rPr>
        <w:t xml:space="preserve"> </w:t>
      </w:r>
      <w:r w:rsidR="00444F20">
        <w:rPr>
          <w:rFonts w:ascii="Arial" w:hAnsi="Arial" w:cs="Arial"/>
          <w:sz w:val="20"/>
          <w:szCs w:val="20"/>
        </w:rPr>
        <w:t>koupě předmětu</w:t>
      </w:r>
      <w:r w:rsidR="0027664B">
        <w:rPr>
          <w:rFonts w:ascii="Arial" w:hAnsi="Arial" w:cs="Arial"/>
          <w:sz w:val="20"/>
          <w:szCs w:val="20"/>
        </w:rPr>
        <w:t xml:space="preserve"> realizovaná dle potřeby kupu</w:t>
      </w:r>
      <w:r w:rsidR="00536343">
        <w:rPr>
          <w:rFonts w:ascii="Arial" w:hAnsi="Arial" w:cs="Arial"/>
          <w:sz w:val="20"/>
          <w:szCs w:val="20"/>
        </w:rPr>
        <w:t>j</w:t>
      </w:r>
      <w:r w:rsidR="0027664B">
        <w:rPr>
          <w:rFonts w:ascii="Arial" w:hAnsi="Arial" w:cs="Arial"/>
          <w:sz w:val="20"/>
          <w:szCs w:val="20"/>
        </w:rPr>
        <w:t xml:space="preserve">ícího na základě pokynů čímž budou </w:t>
      </w:r>
      <w:r w:rsidR="0027664B" w:rsidRPr="008E65C2">
        <w:rPr>
          <w:rFonts w:ascii="Arial" w:hAnsi="Arial" w:cs="Arial"/>
          <w:sz w:val="20"/>
          <w:szCs w:val="20"/>
        </w:rPr>
        <w:t>zabezpeč</w:t>
      </w:r>
      <w:r w:rsidR="0027664B">
        <w:rPr>
          <w:rFonts w:ascii="Arial" w:hAnsi="Arial" w:cs="Arial"/>
          <w:sz w:val="20"/>
          <w:szCs w:val="20"/>
        </w:rPr>
        <w:t xml:space="preserve">eny </w:t>
      </w:r>
      <w:r w:rsidR="00510934" w:rsidRPr="008E65C2">
        <w:rPr>
          <w:rFonts w:ascii="Arial" w:hAnsi="Arial" w:cs="Arial"/>
          <w:sz w:val="20"/>
          <w:szCs w:val="20"/>
        </w:rPr>
        <w:t>průběžné dodávky</w:t>
      </w:r>
      <w:r w:rsidR="00B93647">
        <w:rPr>
          <w:rFonts w:ascii="Arial" w:hAnsi="Arial" w:cs="Arial"/>
          <w:sz w:val="20"/>
          <w:szCs w:val="20"/>
        </w:rPr>
        <w:t xml:space="preserve"> </w:t>
      </w:r>
      <w:r w:rsidR="001217D1">
        <w:rPr>
          <w:rFonts w:ascii="Arial" w:hAnsi="Arial" w:cs="Arial"/>
          <w:sz w:val="20"/>
          <w:szCs w:val="20"/>
        </w:rPr>
        <w:t xml:space="preserve">extra lehkého topného oleje </w:t>
      </w:r>
      <w:r w:rsidR="002445EB">
        <w:rPr>
          <w:rFonts w:ascii="Arial" w:hAnsi="Arial" w:cs="Arial"/>
          <w:sz w:val="20"/>
          <w:szCs w:val="20"/>
        </w:rPr>
        <w:t xml:space="preserve">dle potřeb kupujícího </w:t>
      </w:r>
      <w:r w:rsidR="00844B71" w:rsidRPr="0088671C">
        <w:rPr>
          <w:rFonts w:ascii="Arial" w:hAnsi="Arial" w:cs="Arial"/>
          <w:sz w:val="20"/>
          <w:szCs w:val="20"/>
        </w:rPr>
        <w:t xml:space="preserve">po dobu trvání této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  <w:r w:rsidR="00873CC1">
        <w:rPr>
          <w:rFonts w:ascii="Arial" w:hAnsi="Arial" w:cs="Arial"/>
          <w:sz w:val="20"/>
          <w:szCs w:val="20"/>
        </w:rPr>
        <w:t>.</w:t>
      </w:r>
    </w:p>
    <w:p w14:paraId="2090C75F" w14:textId="757FB35B" w:rsidR="00FC2D96" w:rsidRPr="00F81A73" w:rsidRDefault="000813AB" w:rsidP="00F81A73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</w:t>
      </w:r>
      <w:r w:rsidR="009C2BF9" w:rsidRPr="00F81A73">
        <w:rPr>
          <w:rFonts w:ascii="Arial" w:hAnsi="Arial" w:cs="Arial"/>
          <w:sz w:val="20"/>
          <w:szCs w:val="20"/>
        </w:rPr>
        <w:t xml:space="preserve">kupní smlouvy </w:t>
      </w:r>
      <w:r w:rsidRPr="00F81A73">
        <w:rPr>
          <w:rFonts w:ascii="Arial" w:hAnsi="Arial" w:cs="Arial"/>
          <w:sz w:val="20"/>
          <w:szCs w:val="20"/>
        </w:rPr>
        <w:t>nevzniká povinnost odebrat, resp. objednat předmět koupě</w:t>
      </w:r>
      <w:r w:rsidR="00FC2D96"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="00FC2D96" w:rsidRPr="00F81A73">
        <w:rPr>
          <w:rFonts w:ascii="Arial" w:hAnsi="Arial" w:cs="Arial"/>
          <w:sz w:val="20"/>
          <w:szCs w:val="20"/>
        </w:rPr>
        <w:t xml:space="preserve"> </w:t>
      </w:r>
      <w:r w:rsidR="00FC2D96">
        <w:rPr>
          <w:rFonts w:ascii="Arial" w:hAnsi="Arial" w:cs="Arial"/>
          <w:sz w:val="20"/>
          <w:szCs w:val="20"/>
        </w:rPr>
        <w:t>na</w:t>
      </w:r>
      <w:r w:rsidR="00FC2D96"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 w:rsidR="00FC2D96">
        <w:rPr>
          <w:rFonts w:ascii="Arial" w:hAnsi="Arial" w:cs="Arial"/>
          <w:sz w:val="20"/>
          <w:szCs w:val="20"/>
        </w:rPr>
        <w:t xml:space="preserve">kvalifikovaný </w:t>
      </w:r>
      <w:r w:rsidR="00FC2D96" w:rsidRPr="00F81A73">
        <w:rPr>
          <w:rFonts w:ascii="Arial" w:hAnsi="Arial" w:cs="Arial"/>
          <w:sz w:val="20"/>
          <w:szCs w:val="20"/>
        </w:rPr>
        <w:t>odhad</w:t>
      </w:r>
      <w:r w:rsidR="00FC2D96">
        <w:rPr>
          <w:rFonts w:ascii="Arial" w:hAnsi="Arial" w:cs="Arial"/>
          <w:sz w:val="20"/>
          <w:szCs w:val="20"/>
        </w:rPr>
        <w:t xml:space="preserve">. </w:t>
      </w:r>
      <w:r w:rsidR="00FC2D96" w:rsidRPr="00FC2D96">
        <w:rPr>
          <w:rFonts w:ascii="Arial" w:hAnsi="Arial" w:cs="Arial"/>
          <w:sz w:val="20"/>
          <w:szCs w:val="20"/>
        </w:rPr>
        <w:t>K</w:t>
      </w:r>
      <w:r w:rsidR="00FC2D96" w:rsidRPr="00F81A73">
        <w:rPr>
          <w:rFonts w:ascii="Arial" w:hAnsi="Arial" w:cs="Arial"/>
          <w:sz w:val="20"/>
          <w:szCs w:val="20"/>
        </w:rPr>
        <w:t xml:space="preserve">upující </w:t>
      </w:r>
      <w:r w:rsidR="00FC2D96">
        <w:rPr>
          <w:rFonts w:ascii="Arial" w:hAnsi="Arial" w:cs="Arial"/>
          <w:sz w:val="20"/>
          <w:szCs w:val="20"/>
        </w:rPr>
        <w:t xml:space="preserve">tedy </w:t>
      </w:r>
      <w:r w:rsidR="00FC2D96" w:rsidRPr="00F81A73">
        <w:rPr>
          <w:rFonts w:ascii="Arial" w:hAnsi="Arial" w:cs="Arial"/>
          <w:sz w:val="20"/>
          <w:szCs w:val="20"/>
        </w:rPr>
        <w:t xml:space="preserve">není </w:t>
      </w:r>
      <w:r w:rsidR="00FC2D96">
        <w:rPr>
          <w:rFonts w:ascii="Arial" w:hAnsi="Arial" w:cs="Arial"/>
          <w:sz w:val="20"/>
          <w:szCs w:val="20"/>
        </w:rPr>
        <w:t>povinen</w:t>
      </w:r>
      <w:r w:rsidR="00FC2D96" w:rsidRPr="00F81A73">
        <w:rPr>
          <w:rFonts w:ascii="Arial" w:hAnsi="Arial" w:cs="Arial"/>
          <w:sz w:val="20"/>
          <w:szCs w:val="20"/>
        </w:rPr>
        <w:t xml:space="preserve"> koupit </w:t>
      </w:r>
      <w:r w:rsidR="00FC2D96">
        <w:rPr>
          <w:rFonts w:ascii="Arial" w:hAnsi="Arial" w:cs="Arial"/>
          <w:sz w:val="20"/>
          <w:szCs w:val="20"/>
        </w:rPr>
        <w:t xml:space="preserve">prostřednictvím pokynů </w:t>
      </w:r>
      <w:r w:rsidR="00FC2D96" w:rsidRPr="00F81A73">
        <w:rPr>
          <w:rFonts w:ascii="Arial" w:hAnsi="Arial" w:cs="Arial"/>
          <w:sz w:val="20"/>
          <w:szCs w:val="20"/>
        </w:rPr>
        <w:t xml:space="preserve">celé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 </w:t>
      </w:r>
      <w:r w:rsidR="00FC2D96">
        <w:rPr>
          <w:rFonts w:ascii="Arial" w:hAnsi="Arial" w:cs="Arial"/>
          <w:sz w:val="20"/>
          <w:szCs w:val="20"/>
        </w:rPr>
        <w:t>předmětu koupě dle ZD</w:t>
      </w:r>
      <w:r w:rsidR="00D55DE2">
        <w:rPr>
          <w:rFonts w:ascii="Arial" w:hAnsi="Arial" w:cs="Arial"/>
          <w:sz w:val="20"/>
          <w:szCs w:val="20"/>
        </w:rPr>
        <w:t>,</w:t>
      </w:r>
      <w:r w:rsidR="00FC2D96">
        <w:rPr>
          <w:rFonts w:ascii="Arial" w:hAnsi="Arial" w:cs="Arial"/>
          <w:sz w:val="20"/>
          <w:szCs w:val="20"/>
        </w:rPr>
        <w:t xml:space="preserve"> </w:t>
      </w:r>
      <w:r w:rsidR="00FC2D96" w:rsidRPr="00F81A73">
        <w:rPr>
          <w:rFonts w:ascii="Arial" w:hAnsi="Arial" w:cs="Arial"/>
          <w:sz w:val="20"/>
          <w:szCs w:val="20"/>
        </w:rPr>
        <w:t xml:space="preserve">a pokud neodebere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</w:t>
      </w:r>
      <w:r w:rsidR="00FC2D96" w:rsidRPr="00F81A73">
        <w:rPr>
          <w:rFonts w:ascii="Arial" w:hAnsi="Arial" w:cs="Arial"/>
          <w:sz w:val="20"/>
          <w:szCs w:val="20"/>
        </w:rPr>
        <w:lastRenderedPageBreak/>
        <w:t>kupní ceny za neodebra</w:t>
      </w:r>
      <w:r w:rsidR="00FC2D96"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="00FC2D96" w:rsidRPr="00F81A73">
        <w:rPr>
          <w:rFonts w:ascii="Arial" w:hAnsi="Arial" w:cs="Arial"/>
          <w:sz w:val="20"/>
          <w:szCs w:val="20"/>
        </w:rPr>
        <w:t xml:space="preserve"> zisk</w:t>
      </w:r>
      <w:r w:rsidR="00FC2D96">
        <w:rPr>
          <w:rFonts w:ascii="Arial" w:hAnsi="Arial" w:cs="Arial"/>
          <w:sz w:val="20"/>
          <w:szCs w:val="20"/>
        </w:rPr>
        <w:t>u</w:t>
      </w:r>
      <w:r w:rsidR="00FC2D96" w:rsidRPr="00F81A73">
        <w:rPr>
          <w:rFonts w:ascii="Arial" w:hAnsi="Arial" w:cs="Arial"/>
          <w:sz w:val="20"/>
          <w:szCs w:val="20"/>
        </w:rPr>
        <w:t xml:space="preserve"> za neodebrané množství. </w:t>
      </w:r>
    </w:p>
    <w:p w14:paraId="2B209423" w14:textId="77777777" w:rsidR="003777AE" w:rsidRPr="00293210" w:rsidRDefault="003777AE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1BDFC913" w14:textId="595A470F" w:rsidR="001756B9" w:rsidRPr="00595FAD" w:rsidRDefault="00802BFC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="001756B9"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="001756B9"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="001756B9" w:rsidRPr="00595FAD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Jednotlivá dílčí plnění kupní smlouvy budou realizována na základě jednotlivých pokynů kupujícího dle čl. 3 této kupní smlouvy. </w:t>
      </w:r>
    </w:p>
    <w:p w14:paraId="7331A6E1" w14:textId="18BD43E7" w:rsidR="00325BF0" w:rsidRPr="00531096" w:rsidRDefault="0053109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531096">
        <w:rPr>
          <w:rFonts w:ascii="Arial" w:eastAsia="Arial" w:hAnsi="Arial" w:cs="Arial"/>
        </w:rPr>
        <w:t xml:space="preserve">Na základě jednotlivých </w:t>
      </w:r>
      <w:r w:rsidR="00AD1DFB">
        <w:rPr>
          <w:rFonts w:ascii="Arial" w:eastAsia="Arial" w:hAnsi="Arial" w:cs="Arial"/>
        </w:rPr>
        <w:t xml:space="preserve">pokynů </w:t>
      </w:r>
      <w:r w:rsidRPr="00531096">
        <w:rPr>
          <w:rFonts w:ascii="Arial" w:eastAsia="Arial" w:hAnsi="Arial" w:cs="Arial"/>
        </w:rPr>
        <w:t>se prodávající zavazuje dodávat kupujícímu dále v</w:t>
      </w:r>
      <w:r w:rsidR="00E045DA">
        <w:rPr>
          <w:rFonts w:ascii="Arial" w:eastAsia="Arial" w:hAnsi="Arial" w:cs="Arial"/>
        </w:rPr>
        <w:t> </w:t>
      </w:r>
      <w:r w:rsidRPr="00531096">
        <w:rPr>
          <w:rFonts w:ascii="Arial" w:eastAsia="Arial" w:hAnsi="Arial" w:cs="Arial"/>
        </w:rPr>
        <w:t>této</w:t>
      </w:r>
      <w:r w:rsidR="00E045DA">
        <w:rPr>
          <w:rFonts w:ascii="Arial" w:eastAsia="Arial" w:hAnsi="Arial" w:cs="Arial"/>
        </w:rPr>
        <w:t xml:space="preserve"> </w:t>
      </w:r>
      <w:r w:rsidR="009C2BF9">
        <w:rPr>
          <w:rFonts w:ascii="Arial" w:hAnsi="Arial" w:cs="Arial"/>
          <w:kern w:val="32"/>
        </w:rPr>
        <w:t xml:space="preserve">kupní smlouvě </w:t>
      </w:r>
      <w:r w:rsidRPr="00531096">
        <w:rPr>
          <w:rFonts w:ascii="Arial" w:eastAsia="Arial" w:hAnsi="Arial" w:cs="Arial"/>
        </w:rPr>
        <w:t>specifikovaný předmět koupě</w:t>
      </w:r>
      <w:r>
        <w:rPr>
          <w:rFonts w:ascii="Arial" w:eastAsia="Arial" w:hAnsi="Arial" w:cs="Arial"/>
        </w:rPr>
        <w:t>.</w:t>
      </w:r>
    </w:p>
    <w:p w14:paraId="21DA0CDB" w14:textId="52675BCC" w:rsidR="00BA6889" w:rsidRPr="00064FD2" w:rsidRDefault="00BA6889" w:rsidP="00BA6889">
      <w:pPr>
        <w:pStyle w:val="Odstavec"/>
        <w:numPr>
          <w:ilvl w:val="2"/>
          <w:numId w:val="10"/>
        </w:numPr>
        <w:spacing w:after="120"/>
        <w:rPr>
          <w:rFonts w:ascii="Arial" w:hAnsi="Arial" w:cs="Arial"/>
          <w:b/>
          <w:sz w:val="20"/>
        </w:rPr>
      </w:pPr>
      <w:r w:rsidRPr="00064FD2">
        <w:rPr>
          <w:rFonts w:ascii="Arial" w:hAnsi="Arial" w:cs="Arial"/>
          <w:sz w:val="20"/>
        </w:rPr>
        <w:t>Předmět koupě:</w:t>
      </w:r>
      <w:r w:rsidR="003A4F20">
        <w:rPr>
          <w:rFonts w:ascii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topný olej extra lehký (dále tak jen „TOEL“)"/>
              <w:format w:val="None"/>
            </w:textInput>
          </w:ffData>
        </w:fldChar>
      </w:r>
      <w:r>
        <w:rPr>
          <w:rFonts w:ascii="Arial" w:eastAsia="Arial" w:hAnsi="Arial" w:cs="Arial"/>
          <w:b/>
          <w:sz w:val="20"/>
        </w:rPr>
        <w:instrText xml:space="preserve"> FORMTEXT </w:instrText>
      </w:r>
      <w:r>
        <w:rPr>
          <w:rFonts w:ascii="Arial" w:eastAsia="Arial" w:hAnsi="Arial" w:cs="Arial"/>
          <w:b/>
          <w:sz w:val="20"/>
        </w:rPr>
      </w:r>
      <w:r>
        <w:rPr>
          <w:rFonts w:ascii="Arial" w:eastAsia="Arial" w:hAnsi="Arial" w:cs="Arial"/>
          <w:b/>
          <w:sz w:val="20"/>
        </w:rPr>
        <w:fldChar w:fldCharType="separate"/>
      </w:r>
      <w:r>
        <w:rPr>
          <w:rFonts w:ascii="Arial" w:eastAsia="Arial" w:hAnsi="Arial" w:cs="Arial"/>
          <w:b/>
          <w:noProof/>
          <w:sz w:val="20"/>
        </w:rPr>
        <w:t>topný olej extra lehký (dále tak jen „TOEL“)</w:t>
      </w:r>
      <w:r>
        <w:rPr>
          <w:rFonts w:ascii="Arial" w:eastAsia="Arial" w:hAnsi="Arial" w:cs="Arial"/>
          <w:b/>
          <w:sz w:val="20"/>
        </w:rPr>
        <w:fldChar w:fldCharType="end"/>
      </w:r>
      <w:r w:rsidR="003A4F20" w:rsidRPr="003A4F20">
        <w:rPr>
          <w:rFonts w:ascii="Arial" w:hAnsi="Arial" w:cs="Arial"/>
          <w:color w:val="000000"/>
        </w:rPr>
        <w:t xml:space="preserve"> </w:t>
      </w:r>
      <w:r w:rsidR="003A4F20" w:rsidRPr="003F69E9">
        <w:rPr>
          <w:rFonts w:ascii="Arial" w:hAnsi="Arial" w:cs="Arial"/>
          <w:sz w:val="20"/>
        </w:rPr>
        <w:t xml:space="preserve">včetně dodání předmětu koupě </w:t>
      </w:r>
      <w:r w:rsidR="003A4F20">
        <w:rPr>
          <w:rFonts w:ascii="Arial" w:hAnsi="Arial" w:cs="Arial"/>
          <w:sz w:val="20"/>
        </w:rPr>
        <w:t>a jeho následné</w:t>
      </w:r>
      <w:r w:rsidR="003A4F20" w:rsidRPr="003F69E9">
        <w:rPr>
          <w:rFonts w:ascii="Arial" w:hAnsi="Arial" w:cs="Arial"/>
          <w:sz w:val="20"/>
        </w:rPr>
        <w:t xml:space="preserve"> stočení do úložiště kupujícího</w:t>
      </w:r>
      <w:r w:rsidR="003A4F20">
        <w:rPr>
          <w:rFonts w:ascii="Arial" w:hAnsi="Arial" w:cs="Arial"/>
          <w:sz w:val="20"/>
        </w:rPr>
        <w:t>.</w:t>
      </w:r>
    </w:p>
    <w:p w14:paraId="452BF604" w14:textId="77777777" w:rsidR="00BA6889" w:rsidRPr="00064FD2" w:rsidRDefault="00BA6889" w:rsidP="00BA6889">
      <w:pPr>
        <w:pStyle w:val="Odstavec"/>
        <w:numPr>
          <w:ilvl w:val="2"/>
          <w:numId w:val="10"/>
        </w:numPr>
        <w:spacing w:after="120"/>
        <w:rPr>
          <w:rFonts w:ascii="Arial" w:hAnsi="Arial" w:cs="Arial"/>
          <w:sz w:val="20"/>
        </w:rPr>
      </w:pPr>
      <w:r w:rsidRPr="00064FD2">
        <w:rPr>
          <w:rFonts w:ascii="Arial" w:hAnsi="Arial" w:cs="Arial"/>
          <w:sz w:val="20"/>
        </w:rPr>
        <w:t>Předmět koupě dle čl. 2.2.1. bude splňovat následující podmínky:</w:t>
      </w:r>
    </w:p>
    <w:p w14:paraId="4289C3BB" w14:textId="77777777" w:rsidR="00BA6889" w:rsidRPr="00064FD2" w:rsidRDefault="00BA6889" w:rsidP="00BA688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064FD2">
        <w:rPr>
          <w:rFonts w:ascii="Arial" w:hAnsi="Arial" w:cs="Arial"/>
        </w:rPr>
        <w:t>TOEL musí splňovat normu ČSN 65 7991 a následující parametry:</w:t>
      </w:r>
    </w:p>
    <w:tbl>
      <w:tblPr>
        <w:tblW w:w="5464" w:type="dxa"/>
        <w:tblInd w:w="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180"/>
        <w:gridCol w:w="1084"/>
      </w:tblGrid>
      <w:tr w:rsidR="00BA6889" w:rsidRPr="00064FD2" w14:paraId="0D351438" w14:textId="77777777" w:rsidTr="00BA6889">
        <w:trPr>
          <w:trHeight w:val="300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B354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Barva (po přidání barviva)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618C" w14:textId="77777777" w:rsidR="00BA6889" w:rsidRPr="00064FD2" w:rsidRDefault="00BA6889" w:rsidP="00BA68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3D355C" w14:textId="77777777" w:rsidR="00BA6889" w:rsidRPr="00064FD2" w:rsidRDefault="00BA6889" w:rsidP="00BA6889">
            <w:pPr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Červená</w:t>
            </w:r>
          </w:p>
        </w:tc>
      </w:tr>
      <w:tr w:rsidR="00BA6889" w:rsidRPr="00064FD2" w14:paraId="37A05AC2" w14:textId="77777777" w:rsidTr="00BA6889">
        <w:trPr>
          <w:trHeight w:val="36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5D51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Hustota při 15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C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D661" w14:textId="77777777" w:rsidR="00BA6889" w:rsidRPr="00064FD2" w:rsidRDefault="00BA6889" w:rsidP="00BA68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kg/m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D1F491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&lt;=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84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A6889" w:rsidRPr="00064FD2" w14:paraId="08800619" w14:textId="77777777" w:rsidTr="00BA6889">
        <w:trPr>
          <w:trHeight w:val="36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9687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Odpař. </w:t>
            </w:r>
            <w:proofErr w:type="gramStart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proofErr w:type="gramEnd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při 250 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688C" w14:textId="77777777" w:rsidR="00BA6889" w:rsidRPr="00064FD2" w:rsidRDefault="00BA6889" w:rsidP="00BA68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obj</w:t>
            </w:r>
            <w:proofErr w:type="spellEnd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7CA2D8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&lt;=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65</w:t>
            </w:r>
          </w:p>
        </w:tc>
      </w:tr>
      <w:tr w:rsidR="00BA6889" w:rsidRPr="00064FD2" w14:paraId="3937E90C" w14:textId="77777777" w:rsidTr="00BA6889">
        <w:trPr>
          <w:trHeight w:val="36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A774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Odpař. </w:t>
            </w:r>
            <w:proofErr w:type="gramStart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proofErr w:type="gramEnd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při 350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D3BA" w14:textId="77777777" w:rsidR="00BA6889" w:rsidRPr="00064FD2" w:rsidRDefault="00BA6889" w:rsidP="00BA68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obj</w:t>
            </w:r>
            <w:proofErr w:type="spellEnd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813E18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&gt;= 85</w:t>
            </w:r>
          </w:p>
        </w:tc>
      </w:tr>
      <w:tr w:rsidR="00BA6889" w:rsidRPr="00064FD2" w14:paraId="41599F10" w14:textId="77777777" w:rsidTr="00BA6889">
        <w:trPr>
          <w:trHeight w:val="36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5265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Viskozita při 40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A8C9" w14:textId="77777777" w:rsidR="00BA6889" w:rsidRPr="00064FD2" w:rsidRDefault="00BA6889" w:rsidP="00BA68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9CF46C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&lt;=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6,0</w:t>
            </w:r>
          </w:p>
        </w:tc>
      </w:tr>
      <w:tr w:rsidR="00BA6889" w:rsidRPr="00064FD2" w14:paraId="2B8FEE35" w14:textId="77777777" w:rsidTr="00BA6889">
        <w:trPr>
          <w:trHeight w:val="36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FBC3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Bod vzplanutí  dle P-M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1E3D" w14:textId="77777777" w:rsidR="00BA6889" w:rsidRPr="00064FD2" w:rsidRDefault="00BA6889" w:rsidP="00BA68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4FD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0EDF0E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&gt; 55</w:t>
            </w:r>
          </w:p>
        </w:tc>
      </w:tr>
      <w:tr w:rsidR="00BA6889" w:rsidRPr="00064FD2" w14:paraId="5E37C92E" w14:textId="77777777" w:rsidTr="00BA6889">
        <w:trPr>
          <w:trHeight w:val="36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4417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Bod tekutosti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0239" w14:textId="77777777" w:rsidR="00BA6889" w:rsidRPr="00064FD2" w:rsidRDefault="00BA6889" w:rsidP="00BA68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4FD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C0EC59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&lt;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</w:p>
        </w:tc>
      </w:tr>
      <w:tr w:rsidR="00BA6889" w:rsidRPr="00064FD2" w14:paraId="3018F160" w14:textId="77777777" w:rsidTr="00BA6889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C20E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Conradson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A4C7A" w14:textId="77777777" w:rsidR="00BA6889" w:rsidRPr="00064FD2" w:rsidRDefault="00BA6889" w:rsidP="00BA68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hmotn</w:t>
            </w:r>
            <w:proofErr w:type="spellEnd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D4E9C5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&lt;=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0,1</w:t>
            </w:r>
          </w:p>
        </w:tc>
      </w:tr>
      <w:tr w:rsidR="00BA6889" w:rsidRPr="00064FD2" w14:paraId="62F11007" w14:textId="77777777" w:rsidTr="00BA6889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BC4D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Obsah síry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BA4C" w14:textId="77777777" w:rsidR="00BA6889" w:rsidRPr="00064FD2" w:rsidRDefault="00BA6889" w:rsidP="00BA68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mg/kg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1BFE22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&lt;=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1000</w:t>
            </w:r>
          </w:p>
        </w:tc>
      </w:tr>
      <w:tr w:rsidR="00BA6889" w:rsidRPr="00064FD2" w14:paraId="4ABBF7EB" w14:textId="77777777" w:rsidTr="00BA6889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C6CA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Celkový obsah nečistot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22F4" w14:textId="77777777" w:rsidR="00BA6889" w:rsidRPr="00064FD2" w:rsidRDefault="00BA6889" w:rsidP="00BA68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mg/kg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64AFDF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&lt;=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500</w:t>
            </w:r>
          </w:p>
        </w:tc>
      </w:tr>
      <w:tr w:rsidR="00BA6889" w:rsidRPr="00064FD2" w14:paraId="27FC9FCF" w14:textId="77777777" w:rsidTr="00BA6889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E098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Obsah vody - </w:t>
            </w:r>
            <w:proofErr w:type="spellStart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E21C" w14:textId="77777777" w:rsidR="00BA6889" w:rsidRPr="00064FD2" w:rsidRDefault="00BA6889" w:rsidP="00BA68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054389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&lt;=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500</w:t>
            </w:r>
          </w:p>
        </w:tc>
      </w:tr>
      <w:tr w:rsidR="00BA6889" w:rsidRPr="00064FD2" w14:paraId="637752EC" w14:textId="77777777" w:rsidTr="00BA6889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9527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Popel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C18E" w14:textId="77777777" w:rsidR="00BA6889" w:rsidRPr="00064FD2" w:rsidRDefault="00BA6889" w:rsidP="00BA68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hmotn</w:t>
            </w:r>
            <w:proofErr w:type="spellEnd"/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3F0388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&lt;=</w:t>
            </w: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0,01</w:t>
            </w:r>
          </w:p>
        </w:tc>
      </w:tr>
      <w:tr w:rsidR="00BA6889" w:rsidRPr="00064FD2" w14:paraId="56646D93" w14:textId="77777777" w:rsidTr="00BA6889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B50265" w14:textId="77777777" w:rsidR="00BA6889" w:rsidRPr="00064FD2" w:rsidRDefault="00BA6889" w:rsidP="00BA6889">
            <w:p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Výhřevnost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29D4A8" w14:textId="77777777" w:rsidR="00BA6889" w:rsidRPr="00064FD2" w:rsidRDefault="00BA6889" w:rsidP="00BA6889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>MJ/kg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CFDD2B" w14:textId="77777777" w:rsidR="00BA6889" w:rsidRPr="00064FD2" w:rsidRDefault="00BA6889" w:rsidP="00BA6889">
            <w:pPr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FD2">
              <w:rPr>
                <w:rFonts w:ascii="Arial" w:hAnsi="Arial" w:cs="Arial"/>
                <w:color w:val="000000"/>
                <w:sz w:val="20"/>
                <w:szCs w:val="20"/>
              </w:rPr>
              <w:t xml:space="preserve"> &gt;= 42</w:t>
            </w:r>
          </w:p>
        </w:tc>
      </w:tr>
    </w:tbl>
    <w:p w14:paraId="65CC7EA9" w14:textId="6B955582" w:rsidR="00BA6889" w:rsidRPr="001217D1" w:rsidRDefault="00BA6889" w:rsidP="001217D1">
      <w:pPr>
        <w:pStyle w:val="Zkladntextodsazen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</w:rPr>
      </w:pPr>
      <w:r w:rsidRPr="001217D1">
        <w:rPr>
          <w:rFonts w:ascii="Arial" w:hAnsi="Arial" w:cs="Arial"/>
        </w:rPr>
        <w:t xml:space="preserve">použitelný jako palivo pro výrobu tepla pro ohřev asfaltových materiálů v mobilních </w:t>
      </w:r>
      <w:proofErr w:type="spellStart"/>
      <w:r w:rsidRPr="001217D1">
        <w:rPr>
          <w:rFonts w:ascii="Arial" w:hAnsi="Arial" w:cs="Arial"/>
        </w:rPr>
        <w:t>recyklátorech</w:t>
      </w:r>
      <w:proofErr w:type="spellEnd"/>
      <w:r w:rsidRPr="001217D1">
        <w:rPr>
          <w:rFonts w:ascii="Arial" w:hAnsi="Arial" w:cs="Arial"/>
        </w:rPr>
        <w:t>.</w:t>
      </w:r>
    </w:p>
    <w:p w14:paraId="71240690" w14:textId="77777777" w:rsidR="00BA6889" w:rsidRPr="00064FD2" w:rsidRDefault="00BA6889" w:rsidP="00BA6889">
      <w:pPr>
        <w:pStyle w:val="Zkladntextodsazen"/>
        <w:numPr>
          <w:ilvl w:val="1"/>
          <w:numId w:val="11"/>
        </w:numPr>
        <w:spacing w:after="120"/>
        <w:ind w:left="567" w:hanging="567"/>
        <w:jc w:val="both"/>
        <w:rPr>
          <w:rFonts w:ascii="Arial" w:hAnsi="Arial" w:cs="Arial"/>
        </w:rPr>
      </w:pPr>
      <w:r w:rsidRPr="00064FD2">
        <w:rPr>
          <w:rFonts w:ascii="Arial" w:hAnsi="Arial" w:cs="Arial"/>
        </w:rPr>
        <w:t>Prodávající prohlašuje, že předmět koupě má vlastnosti stanovené v tomto článku shora a je způsobilý k použití k výše uvedeným účelům.</w:t>
      </w:r>
    </w:p>
    <w:p w14:paraId="2FCAE3E4" w14:textId="6B9D77C7" w:rsidR="000813AB" w:rsidRPr="00741345" w:rsidRDefault="00BA6889" w:rsidP="00BA688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2D5F5A">
        <w:rPr>
          <w:rFonts w:ascii="Arial" w:hAnsi="Arial" w:cs="Arial"/>
        </w:rPr>
        <w:t xml:space="preserve">Sjednané množství: množství předmětu koupě bude stanoveno v </w:t>
      </w:r>
      <w:r w:rsidR="004E7757">
        <w:rPr>
          <w:rFonts w:ascii="Arial" w:hAnsi="Arial" w:cs="Arial"/>
        </w:rPr>
        <w:t>pokynech</w:t>
      </w:r>
      <w:r w:rsidRPr="002D5F5A">
        <w:rPr>
          <w:rFonts w:ascii="Arial" w:hAnsi="Arial" w:cs="Arial"/>
        </w:rPr>
        <w:t xml:space="preserve"> kupujícího dle čl. </w:t>
      </w:r>
      <w:proofErr w:type="gramStart"/>
      <w:r w:rsidRPr="002D5F5A">
        <w:rPr>
          <w:rFonts w:ascii="Arial" w:hAnsi="Arial" w:cs="Arial"/>
        </w:rPr>
        <w:t>3.1. této</w:t>
      </w:r>
      <w:proofErr w:type="gramEnd"/>
      <w:r w:rsidRPr="002D5F5A">
        <w:rPr>
          <w:rFonts w:ascii="Arial" w:hAnsi="Arial" w:cs="Arial"/>
        </w:rPr>
        <w:t xml:space="preserve"> smlouvy. Součástí každé dodávky bude odpovídající </w:t>
      </w:r>
      <w:r w:rsidRPr="002D5F5A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default w:val="dodací (stáčecí) list"/>
              <w:format w:val="None"/>
            </w:textInput>
          </w:ffData>
        </w:fldChar>
      </w:r>
      <w:r w:rsidRPr="002D5F5A">
        <w:rPr>
          <w:rFonts w:ascii="Arial" w:eastAsia="Arial" w:hAnsi="Arial" w:cs="Arial"/>
        </w:rPr>
        <w:instrText xml:space="preserve"> FORMTEXT </w:instrText>
      </w:r>
      <w:r w:rsidRPr="002D5F5A">
        <w:rPr>
          <w:rFonts w:ascii="Arial" w:eastAsia="Arial" w:hAnsi="Arial" w:cs="Arial"/>
        </w:rPr>
      </w:r>
      <w:r w:rsidRPr="002D5F5A">
        <w:rPr>
          <w:rFonts w:ascii="Arial" w:eastAsia="Arial" w:hAnsi="Arial" w:cs="Arial"/>
        </w:rPr>
        <w:fldChar w:fldCharType="separate"/>
      </w:r>
      <w:r w:rsidRPr="002D5F5A">
        <w:rPr>
          <w:rFonts w:ascii="Arial" w:eastAsia="Arial" w:hAnsi="Arial" w:cs="Arial"/>
          <w:noProof/>
        </w:rPr>
        <w:t>dodací (stáčecí) list</w:t>
      </w:r>
      <w:r w:rsidRPr="002D5F5A">
        <w:rPr>
          <w:rFonts w:ascii="Arial" w:eastAsia="Arial" w:hAnsi="Arial" w:cs="Arial"/>
        </w:rPr>
        <w:fldChar w:fldCharType="end"/>
      </w:r>
      <w:r w:rsidRPr="002D5F5A">
        <w:rPr>
          <w:rFonts w:ascii="Arial" w:hAnsi="Arial" w:cs="Arial"/>
        </w:rPr>
        <w:t>.</w:t>
      </w:r>
    </w:p>
    <w:p w14:paraId="159568B7" w14:textId="36BE031B" w:rsidR="00ED14B9" w:rsidRDefault="00AD1DF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1FDEE184" w14:textId="44FABFDA" w:rsidR="001756B9" w:rsidRPr="004E7757" w:rsidRDefault="001756B9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 w:rsidR="005B3684">
        <w:rPr>
          <w:rFonts w:ascii="Arial" w:hAnsi="Arial" w:cs="Arial"/>
          <w:sz w:val="20"/>
          <w:szCs w:val="20"/>
        </w:rPr>
        <w:t xml:space="preserve">popř. telefonicky </w:t>
      </w:r>
      <w:r w:rsidR="006934F3">
        <w:rPr>
          <w:rFonts w:ascii="Arial" w:hAnsi="Arial" w:cs="Arial"/>
          <w:sz w:val="20"/>
          <w:szCs w:val="20"/>
        </w:rPr>
        <w:t xml:space="preserve">(obojí lze učinit výhradně na uvedené </w:t>
      </w:r>
      <w:r w:rsidR="0093356B">
        <w:rPr>
          <w:rFonts w:ascii="Arial" w:hAnsi="Arial" w:cs="Arial"/>
          <w:sz w:val="20"/>
          <w:szCs w:val="20"/>
        </w:rPr>
        <w:t xml:space="preserve">kontakty prodávajícího v čl. </w:t>
      </w:r>
      <w:proofErr w:type="gramStart"/>
      <w:r w:rsidR="0093356B">
        <w:rPr>
          <w:rFonts w:ascii="Arial" w:hAnsi="Arial" w:cs="Arial"/>
          <w:sz w:val="20"/>
          <w:szCs w:val="20"/>
        </w:rPr>
        <w:t>4.4</w:t>
      </w:r>
      <w:r w:rsidR="006934F3">
        <w:rPr>
          <w:rFonts w:ascii="Arial" w:hAnsi="Arial" w:cs="Arial"/>
          <w:sz w:val="20"/>
          <w:szCs w:val="20"/>
        </w:rPr>
        <w:t>. této</w:t>
      </w:r>
      <w:proofErr w:type="gramEnd"/>
      <w:r w:rsidR="006934F3">
        <w:rPr>
          <w:rFonts w:ascii="Arial" w:hAnsi="Arial" w:cs="Arial"/>
          <w:sz w:val="20"/>
          <w:szCs w:val="20"/>
        </w:rPr>
        <w:t xml:space="preserve"> kupní smlouvy) </w:t>
      </w:r>
      <w:r w:rsidR="005B3684">
        <w:rPr>
          <w:rFonts w:ascii="Arial" w:hAnsi="Arial" w:cs="Arial"/>
          <w:sz w:val="20"/>
          <w:szCs w:val="20"/>
        </w:rPr>
        <w:t>předá</w:t>
      </w:r>
      <w:r w:rsidR="005B3684" w:rsidRPr="000813AB">
        <w:rPr>
          <w:rFonts w:ascii="Arial" w:hAnsi="Arial" w:cs="Arial"/>
          <w:sz w:val="20"/>
          <w:szCs w:val="20"/>
        </w:rPr>
        <w:t xml:space="preserve"> </w:t>
      </w:r>
      <w:r w:rsidRPr="000813AB">
        <w:rPr>
          <w:rFonts w:ascii="Arial" w:hAnsi="Arial" w:cs="Arial"/>
          <w:sz w:val="20"/>
          <w:szCs w:val="20"/>
        </w:rPr>
        <w:t xml:space="preserve">prodávajícímu </w:t>
      </w:r>
      <w:r w:rsidR="00F83347">
        <w:rPr>
          <w:rFonts w:ascii="Arial" w:hAnsi="Arial" w:cs="Arial"/>
          <w:sz w:val="20"/>
          <w:szCs w:val="20"/>
        </w:rPr>
        <w:t xml:space="preserve">pokyn, kterým specifikuje </w:t>
      </w:r>
      <w:r w:rsidR="00F634A2">
        <w:rPr>
          <w:rFonts w:ascii="Arial" w:hAnsi="Arial" w:cs="Arial"/>
          <w:sz w:val="20"/>
          <w:szCs w:val="20"/>
        </w:rPr>
        <w:t>požadavky</w:t>
      </w:r>
      <w:r w:rsidR="00ED30C8">
        <w:rPr>
          <w:rFonts w:ascii="Arial" w:hAnsi="Arial" w:cs="Arial"/>
          <w:sz w:val="20"/>
          <w:szCs w:val="20"/>
        </w:rPr>
        <w:t xml:space="preserve"> dle čl. 3.4. této kupní smlouvy</w:t>
      </w:r>
      <w:r w:rsidR="00F634A2">
        <w:rPr>
          <w:rFonts w:ascii="Arial" w:hAnsi="Arial" w:cs="Arial"/>
          <w:sz w:val="20"/>
          <w:szCs w:val="20"/>
        </w:rPr>
        <w:t xml:space="preserve"> na dílčí plnění prodávajícího kupujícímu dle </w:t>
      </w:r>
      <w:r w:rsidR="00F634A2" w:rsidRPr="004E7757">
        <w:rPr>
          <w:rFonts w:ascii="Arial" w:hAnsi="Arial" w:cs="Arial"/>
          <w:sz w:val="20"/>
          <w:szCs w:val="20"/>
        </w:rPr>
        <w:t>této kupní smlouvy</w:t>
      </w:r>
      <w:r w:rsidR="0094495E" w:rsidRPr="004E7757">
        <w:rPr>
          <w:rFonts w:ascii="Arial" w:hAnsi="Arial" w:cs="Arial"/>
          <w:sz w:val="20"/>
          <w:szCs w:val="20"/>
        </w:rPr>
        <w:t xml:space="preserve"> (dále jen „</w:t>
      </w:r>
      <w:r w:rsidR="00F83347" w:rsidRPr="004E7757">
        <w:rPr>
          <w:rFonts w:ascii="Arial" w:hAnsi="Arial" w:cs="Arial"/>
          <w:sz w:val="20"/>
          <w:szCs w:val="20"/>
        </w:rPr>
        <w:t>pokyn</w:t>
      </w:r>
      <w:r w:rsidR="0094495E" w:rsidRPr="004E7757">
        <w:rPr>
          <w:rFonts w:ascii="Arial" w:hAnsi="Arial" w:cs="Arial"/>
          <w:sz w:val="20"/>
          <w:szCs w:val="20"/>
        </w:rPr>
        <w:t>“)</w:t>
      </w:r>
      <w:r w:rsidRPr="004E7757">
        <w:rPr>
          <w:rFonts w:ascii="Arial" w:hAnsi="Arial" w:cs="Arial"/>
          <w:sz w:val="20"/>
          <w:szCs w:val="20"/>
        </w:rPr>
        <w:t>.</w:t>
      </w:r>
    </w:p>
    <w:p w14:paraId="447E3ECC" w14:textId="255FF940" w:rsidR="001756B9" w:rsidRPr="004E7757" w:rsidRDefault="00F634A2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4E7757">
        <w:rPr>
          <w:rFonts w:ascii="Arial" w:hAnsi="Arial" w:cs="Arial"/>
          <w:sz w:val="20"/>
          <w:szCs w:val="20"/>
        </w:rPr>
        <w:t xml:space="preserve">Pokyn </w:t>
      </w:r>
      <w:r w:rsidR="001756B9" w:rsidRPr="004E7757">
        <w:rPr>
          <w:rFonts w:ascii="Arial" w:hAnsi="Arial" w:cs="Arial"/>
          <w:sz w:val="20"/>
          <w:szCs w:val="20"/>
        </w:rPr>
        <w:t>je</w:t>
      </w:r>
      <w:r w:rsidRPr="004E7757"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</w:t>
      </w:r>
      <w:r w:rsidR="000C3253" w:rsidRPr="004E7757">
        <w:rPr>
          <w:rFonts w:ascii="Arial" w:hAnsi="Arial" w:cs="Arial"/>
          <w:sz w:val="20"/>
          <w:szCs w:val="20"/>
        </w:rPr>
        <w:t>,</w:t>
      </w:r>
      <w:r w:rsidRPr="004E7757">
        <w:rPr>
          <w:rFonts w:ascii="Arial" w:hAnsi="Arial" w:cs="Arial"/>
          <w:sz w:val="20"/>
          <w:szCs w:val="20"/>
        </w:rPr>
        <w:t xml:space="preserve"> a ve kterém byl udělen pokyn nebo okamžikem odeslání emailu s pokynem kupujícím prodá</w:t>
      </w:r>
      <w:r w:rsidR="000C3253" w:rsidRPr="004E7757">
        <w:rPr>
          <w:rFonts w:ascii="Arial" w:hAnsi="Arial" w:cs="Arial"/>
          <w:sz w:val="20"/>
          <w:szCs w:val="20"/>
        </w:rPr>
        <w:t>vaj</w:t>
      </w:r>
      <w:r w:rsidR="0093356B" w:rsidRPr="004E7757">
        <w:rPr>
          <w:rFonts w:ascii="Arial" w:hAnsi="Arial" w:cs="Arial"/>
          <w:sz w:val="20"/>
          <w:szCs w:val="20"/>
        </w:rPr>
        <w:t>ícímu na e</w:t>
      </w:r>
      <w:r w:rsidR="00ED30C8">
        <w:rPr>
          <w:rFonts w:ascii="Arial" w:hAnsi="Arial" w:cs="Arial"/>
          <w:sz w:val="20"/>
          <w:szCs w:val="20"/>
        </w:rPr>
        <w:t>-</w:t>
      </w:r>
      <w:r w:rsidR="0093356B" w:rsidRPr="004E7757">
        <w:rPr>
          <w:rFonts w:ascii="Arial" w:hAnsi="Arial" w:cs="Arial"/>
          <w:sz w:val="20"/>
          <w:szCs w:val="20"/>
        </w:rPr>
        <w:t xml:space="preserve">mail uvedený v čl. </w:t>
      </w:r>
      <w:proofErr w:type="gramStart"/>
      <w:r w:rsidR="0093356B" w:rsidRPr="004E7757">
        <w:rPr>
          <w:rFonts w:ascii="Arial" w:hAnsi="Arial" w:cs="Arial"/>
          <w:sz w:val="20"/>
          <w:szCs w:val="20"/>
        </w:rPr>
        <w:t>4.4.</w:t>
      </w:r>
      <w:r w:rsidR="000C3253" w:rsidRPr="004E7757">
        <w:rPr>
          <w:rFonts w:ascii="Arial" w:hAnsi="Arial" w:cs="Arial"/>
          <w:sz w:val="20"/>
          <w:szCs w:val="20"/>
        </w:rPr>
        <w:t xml:space="preserve"> této</w:t>
      </w:r>
      <w:proofErr w:type="gramEnd"/>
      <w:r w:rsidR="000C3253" w:rsidRPr="004E7757">
        <w:rPr>
          <w:rFonts w:ascii="Arial" w:hAnsi="Arial" w:cs="Arial"/>
          <w:sz w:val="20"/>
          <w:szCs w:val="20"/>
        </w:rPr>
        <w:t xml:space="preserve"> kupní smlouvy. Prodávající může odmítnout pokyn pouze z důvodu vyšší moci, a to do 24 hodin od jeho obdržení (lhůta běží pouze v pracovních dnech, mimo pracovní dny se běh lhůty přerušuje)</w:t>
      </w:r>
      <w:r w:rsidR="00BD372A" w:rsidRPr="004E7757">
        <w:rPr>
          <w:rFonts w:ascii="Arial" w:hAnsi="Arial" w:cs="Arial"/>
          <w:sz w:val="20"/>
          <w:szCs w:val="20"/>
        </w:rPr>
        <w:t>.</w:t>
      </w:r>
      <w:r w:rsidR="000C3253" w:rsidRPr="004E7757">
        <w:rPr>
          <w:rFonts w:ascii="Arial" w:hAnsi="Arial" w:cs="Arial"/>
          <w:sz w:val="20"/>
          <w:szCs w:val="20"/>
        </w:rPr>
        <w:t xml:space="preserve"> </w:t>
      </w:r>
      <w:r w:rsidRPr="004E7757">
        <w:rPr>
          <w:rFonts w:ascii="Arial" w:hAnsi="Arial" w:cs="Arial"/>
          <w:sz w:val="20"/>
          <w:szCs w:val="20"/>
        </w:rPr>
        <w:t xml:space="preserve">  </w:t>
      </w:r>
      <w:r w:rsidR="001756B9" w:rsidRPr="004E7757">
        <w:rPr>
          <w:rFonts w:ascii="Arial" w:hAnsi="Arial" w:cs="Arial"/>
          <w:sz w:val="20"/>
          <w:szCs w:val="20"/>
        </w:rPr>
        <w:t xml:space="preserve"> </w:t>
      </w:r>
    </w:p>
    <w:p w14:paraId="2A0B39F3" w14:textId="1B9BEA86" w:rsidR="001756B9" w:rsidRDefault="001756B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lastRenderedPageBreak/>
        <w:t xml:space="preserve">Sjednává se, že </w:t>
      </w:r>
      <w:r w:rsidR="00EF3D73" w:rsidRPr="00913A2F">
        <w:rPr>
          <w:rFonts w:ascii="Arial" w:hAnsi="Arial" w:cs="Arial"/>
          <w:sz w:val="20"/>
          <w:szCs w:val="20"/>
        </w:rPr>
        <w:t>jednotliv</w:t>
      </w:r>
      <w:r w:rsidR="00EF3D73">
        <w:rPr>
          <w:rFonts w:ascii="Arial" w:hAnsi="Arial" w:cs="Arial"/>
          <w:sz w:val="20"/>
          <w:szCs w:val="20"/>
        </w:rPr>
        <w:t>ý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="00EF3D73">
        <w:rPr>
          <w:rFonts w:ascii="Arial" w:hAnsi="Arial" w:cs="Arial"/>
          <w:sz w:val="20"/>
          <w:szCs w:val="20"/>
        </w:rPr>
        <w:t>pokyn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Pr="00913A2F">
        <w:rPr>
          <w:rFonts w:ascii="Arial" w:hAnsi="Arial" w:cs="Arial"/>
          <w:sz w:val="20"/>
          <w:szCs w:val="20"/>
        </w:rPr>
        <w:t xml:space="preserve">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="00BA6889">
        <w:rPr>
          <w:rFonts w:ascii="Arial" w:hAnsi="Arial" w:cs="Arial"/>
          <w:sz w:val="20"/>
          <w:szCs w:val="20"/>
        </w:rPr>
        <w:t>3 000 litrů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0BBAE6FD" w14:textId="6D64AA10" w:rsidR="001756B9" w:rsidRDefault="00B7063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756B9">
        <w:rPr>
          <w:rFonts w:ascii="Arial" w:hAnsi="Arial" w:cs="Arial"/>
          <w:sz w:val="20"/>
          <w:szCs w:val="20"/>
        </w:rPr>
        <w:t xml:space="preserve">ezbytnými náležitostmi </w:t>
      </w:r>
      <w:r w:rsidR="00EF3D73">
        <w:rPr>
          <w:rFonts w:ascii="Arial" w:hAnsi="Arial" w:cs="Arial"/>
          <w:sz w:val="20"/>
          <w:szCs w:val="20"/>
        </w:rPr>
        <w:t xml:space="preserve">pokynu </w:t>
      </w:r>
      <w:r w:rsidR="001756B9">
        <w:rPr>
          <w:rFonts w:ascii="Arial" w:hAnsi="Arial" w:cs="Arial"/>
          <w:sz w:val="20"/>
          <w:szCs w:val="20"/>
        </w:rPr>
        <w:t xml:space="preserve">jsou: </w:t>
      </w:r>
    </w:p>
    <w:p w14:paraId="70490EC5" w14:textId="77777777" w:rsidR="00BA6889" w:rsidRPr="00064FD2" w:rsidRDefault="00BA6889" w:rsidP="00F03E1D">
      <w:pPr>
        <w:pStyle w:val="rove2"/>
        <w:numPr>
          <w:ilvl w:val="0"/>
          <w:numId w:val="13"/>
        </w:numPr>
        <w:spacing w:line="276" w:lineRule="auto"/>
        <w:ind w:left="993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>místo dodání;</w:t>
      </w:r>
    </w:p>
    <w:p w14:paraId="3DC88BA9" w14:textId="77777777" w:rsidR="00BA6889" w:rsidRPr="00064FD2" w:rsidRDefault="00BA6889" w:rsidP="00F03E1D">
      <w:pPr>
        <w:pStyle w:val="rove2"/>
        <w:numPr>
          <w:ilvl w:val="0"/>
          <w:numId w:val="13"/>
        </w:numPr>
        <w:spacing w:line="276" w:lineRule="auto"/>
        <w:ind w:left="993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>doba dodání;</w:t>
      </w:r>
    </w:p>
    <w:p w14:paraId="51A2AFFB" w14:textId="6B222C21" w:rsidR="00BA6889" w:rsidRPr="00064FD2" w:rsidRDefault="00BA6889" w:rsidP="00F03E1D">
      <w:pPr>
        <w:pStyle w:val="rove2"/>
        <w:numPr>
          <w:ilvl w:val="0"/>
          <w:numId w:val="13"/>
        </w:numPr>
        <w:spacing w:line="276" w:lineRule="auto"/>
        <w:ind w:left="993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>množství předmětu koupě</w:t>
      </w:r>
      <w:r w:rsidR="00F03E1D">
        <w:rPr>
          <w:rFonts w:ascii="Arial" w:hAnsi="Arial" w:cs="Arial"/>
          <w:sz w:val="20"/>
          <w:szCs w:val="20"/>
        </w:rPr>
        <w:t xml:space="preserve"> s odchylkou max. +/- 1 %</w:t>
      </w:r>
      <w:r w:rsidRPr="00064FD2">
        <w:rPr>
          <w:rFonts w:ascii="Arial" w:hAnsi="Arial" w:cs="Arial"/>
          <w:sz w:val="20"/>
          <w:szCs w:val="20"/>
        </w:rPr>
        <w:t>;</w:t>
      </w:r>
    </w:p>
    <w:p w14:paraId="367616CC" w14:textId="37FD0C13" w:rsidR="001756B9" w:rsidRDefault="00BA6889" w:rsidP="00F03E1D">
      <w:pPr>
        <w:pStyle w:val="rove2"/>
        <w:numPr>
          <w:ilvl w:val="0"/>
          <w:numId w:val="13"/>
        </w:numPr>
        <w:spacing w:line="276" w:lineRule="auto"/>
        <w:ind w:left="993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>název a číslo střediska kupujícího</w:t>
      </w:r>
      <w:r w:rsidR="001756B9">
        <w:rPr>
          <w:rFonts w:ascii="Arial" w:hAnsi="Arial" w:cs="Arial"/>
          <w:sz w:val="20"/>
          <w:szCs w:val="20"/>
        </w:rPr>
        <w:t>.</w:t>
      </w:r>
    </w:p>
    <w:p w14:paraId="466F8538" w14:textId="3A35585C" w:rsidR="006934F3" w:rsidRDefault="006934F3" w:rsidP="007A23A9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</w:t>
      </w:r>
      <w:r w:rsidR="0096344F">
        <w:rPr>
          <w:rFonts w:ascii="Arial" w:hAnsi="Arial" w:cs="Arial"/>
          <w:sz w:val="20"/>
          <w:szCs w:val="20"/>
        </w:rPr>
        <w:t>následně po realizaci jednotlivé</w:t>
      </w:r>
      <w:r w:rsidR="00EF3D73">
        <w:rPr>
          <w:rFonts w:ascii="Arial" w:hAnsi="Arial" w:cs="Arial"/>
          <w:sz w:val="20"/>
          <w:szCs w:val="20"/>
        </w:rPr>
        <w:t xml:space="preserve">ho pokynu </w:t>
      </w:r>
      <w:r>
        <w:rPr>
          <w:rFonts w:ascii="Arial" w:hAnsi="Arial" w:cs="Arial"/>
          <w:sz w:val="20"/>
          <w:szCs w:val="20"/>
        </w:rPr>
        <w:t>dodací (</w:t>
      </w:r>
      <w:r w:rsidR="00ED30C8">
        <w:rPr>
          <w:rFonts w:ascii="Arial" w:hAnsi="Arial" w:cs="Arial"/>
          <w:sz w:val="20"/>
          <w:szCs w:val="20"/>
        </w:rPr>
        <w:t>stáčecí</w:t>
      </w:r>
      <w:r>
        <w:rPr>
          <w:rFonts w:ascii="Arial" w:hAnsi="Arial" w:cs="Arial"/>
          <w:sz w:val="20"/>
          <w:szCs w:val="20"/>
        </w:rPr>
        <w:t xml:space="preserve">) list odpovídat obsahu </w:t>
      </w:r>
      <w:r w:rsidR="00EF3D73">
        <w:rPr>
          <w:rFonts w:ascii="Arial" w:hAnsi="Arial" w:cs="Arial"/>
          <w:sz w:val="20"/>
          <w:szCs w:val="20"/>
        </w:rPr>
        <w:t>pokynu</w:t>
      </w:r>
      <w:r w:rsidR="008549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nebude ze strany zástupce kupujícího podepsán</w:t>
      </w:r>
      <w:r w:rsidR="001A0949">
        <w:rPr>
          <w:rFonts w:ascii="Arial" w:hAnsi="Arial" w:cs="Arial"/>
          <w:sz w:val="20"/>
          <w:szCs w:val="20"/>
        </w:rPr>
        <w:t xml:space="preserve"> a nebude se tedy moci stát následnou přílohou faktury a taková dodávka nebude kupujícím </w:t>
      </w:r>
      <w:r w:rsidR="004F4784">
        <w:rPr>
          <w:rFonts w:ascii="Arial" w:hAnsi="Arial" w:cs="Arial"/>
          <w:sz w:val="20"/>
          <w:szCs w:val="20"/>
        </w:rPr>
        <w:t xml:space="preserve">převzata ani </w:t>
      </w:r>
      <w:r w:rsidR="001A0949">
        <w:rPr>
          <w:rFonts w:ascii="Arial" w:hAnsi="Arial" w:cs="Arial"/>
          <w:sz w:val="20"/>
          <w:szCs w:val="20"/>
        </w:rPr>
        <w:t>proplacena</w:t>
      </w:r>
      <w:r w:rsidR="004F4784">
        <w:rPr>
          <w:rFonts w:ascii="Arial" w:hAnsi="Arial" w:cs="Arial"/>
          <w:sz w:val="20"/>
          <w:szCs w:val="20"/>
        </w:rPr>
        <w:t>, nebude-li možno</w:t>
      </w:r>
      <w:r w:rsidR="008549D5">
        <w:rPr>
          <w:rFonts w:ascii="Arial" w:hAnsi="Arial" w:cs="Arial"/>
          <w:sz w:val="20"/>
          <w:szCs w:val="20"/>
        </w:rPr>
        <w:t>,</w:t>
      </w:r>
      <w:r w:rsidR="004F4784">
        <w:rPr>
          <w:rFonts w:ascii="Arial" w:hAnsi="Arial" w:cs="Arial"/>
          <w:sz w:val="20"/>
          <w:szCs w:val="20"/>
        </w:rPr>
        <w:t xml:space="preserve"> aby se zástupci </w:t>
      </w:r>
      <w:r w:rsidR="00BB2DB2">
        <w:rPr>
          <w:rFonts w:ascii="Arial" w:hAnsi="Arial" w:cs="Arial"/>
          <w:sz w:val="20"/>
          <w:szCs w:val="20"/>
        </w:rPr>
        <w:t xml:space="preserve">uvedení </w:t>
      </w:r>
      <w:r w:rsidR="004F4784">
        <w:rPr>
          <w:rFonts w:ascii="Arial" w:hAnsi="Arial" w:cs="Arial"/>
          <w:sz w:val="20"/>
          <w:szCs w:val="20"/>
        </w:rPr>
        <w:t>v</w:t>
      </w:r>
      <w:r w:rsidR="00F030B6">
        <w:rPr>
          <w:rFonts w:ascii="Arial" w:hAnsi="Arial" w:cs="Arial"/>
          <w:sz w:val="20"/>
          <w:szCs w:val="20"/>
        </w:rPr>
        <w:t> </w:t>
      </w:r>
      <w:r w:rsidR="004F4784">
        <w:rPr>
          <w:rFonts w:ascii="Arial" w:hAnsi="Arial" w:cs="Arial"/>
          <w:sz w:val="20"/>
          <w:szCs w:val="20"/>
        </w:rPr>
        <w:t>čl</w:t>
      </w:r>
      <w:r w:rsidR="00F030B6">
        <w:rPr>
          <w:rFonts w:ascii="Arial" w:hAnsi="Arial" w:cs="Arial"/>
          <w:sz w:val="20"/>
          <w:szCs w:val="20"/>
        </w:rPr>
        <w:t>.</w:t>
      </w:r>
      <w:r w:rsidR="0093356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3356B">
        <w:rPr>
          <w:rFonts w:ascii="Arial" w:hAnsi="Arial" w:cs="Arial"/>
          <w:sz w:val="20"/>
          <w:szCs w:val="20"/>
        </w:rPr>
        <w:t>4.3</w:t>
      </w:r>
      <w:proofErr w:type="gramEnd"/>
      <w:r w:rsidR="006A47D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r w:rsidR="0093356B">
        <w:rPr>
          <w:rFonts w:ascii="Arial" w:hAnsi="Arial" w:cs="Arial"/>
          <w:sz w:val="20"/>
          <w:szCs w:val="20"/>
        </w:rPr>
        <w:t>a 4.4</w:t>
      </w:r>
      <w:r w:rsidR="00F030B6">
        <w:rPr>
          <w:rFonts w:ascii="Arial" w:hAnsi="Arial" w:cs="Arial"/>
          <w:sz w:val="20"/>
          <w:szCs w:val="20"/>
        </w:rPr>
        <w:t xml:space="preserve">. </w:t>
      </w:r>
      <w:r w:rsidR="004F4784">
        <w:rPr>
          <w:rFonts w:ascii="Arial" w:hAnsi="Arial" w:cs="Arial"/>
          <w:sz w:val="20"/>
          <w:szCs w:val="20"/>
        </w:rPr>
        <w:t>této</w:t>
      </w:r>
      <w:r w:rsidR="00D52710">
        <w:rPr>
          <w:rFonts w:ascii="Arial" w:hAnsi="Arial" w:cs="Arial"/>
          <w:sz w:val="20"/>
          <w:szCs w:val="20"/>
        </w:rPr>
        <w:t xml:space="preserve"> kupní</w:t>
      </w:r>
      <w:r w:rsidR="004F4784">
        <w:rPr>
          <w:rFonts w:ascii="Arial" w:hAnsi="Arial" w:cs="Arial"/>
          <w:sz w:val="20"/>
          <w:szCs w:val="20"/>
        </w:rPr>
        <w:t xml:space="preserve"> smlouvy dohodli operativně</w:t>
      </w:r>
      <w:r w:rsidR="006A47D6">
        <w:rPr>
          <w:rFonts w:ascii="Arial" w:hAnsi="Arial" w:cs="Arial"/>
          <w:sz w:val="20"/>
          <w:szCs w:val="20"/>
        </w:rPr>
        <w:t xml:space="preserve"> (změnou </w:t>
      </w:r>
      <w:r w:rsidR="00EF3D73">
        <w:rPr>
          <w:rFonts w:ascii="Arial" w:hAnsi="Arial" w:cs="Arial"/>
          <w:sz w:val="20"/>
          <w:szCs w:val="20"/>
        </w:rPr>
        <w:t>pokynu</w:t>
      </w:r>
      <w:r w:rsidR="006A47D6">
        <w:rPr>
          <w:rFonts w:ascii="Arial" w:hAnsi="Arial" w:cs="Arial"/>
          <w:sz w:val="20"/>
          <w:szCs w:val="20"/>
        </w:rPr>
        <w:t>, vytvořením nové</w:t>
      </w:r>
      <w:r w:rsidR="00EF3D73">
        <w:rPr>
          <w:rFonts w:ascii="Arial" w:hAnsi="Arial" w:cs="Arial"/>
          <w:sz w:val="20"/>
          <w:szCs w:val="20"/>
        </w:rPr>
        <w:t>ho pokynu</w:t>
      </w:r>
      <w:r w:rsidR="006A47D6">
        <w:rPr>
          <w:rFonts w:ascii="Arial" w:hAnsi="Arial" w:cs="Arial"/>
          <w:sz w:val="20"/>
          <w:szCs w:val="20"/>
        </w:rPr>
        <w:t>)</w:t>
      </w:r>
      <w:r w:rsidR="004F4784">
        <w:rPr>
          <w:rFonts w:ascii="Arial" w:hAnsi="Arial" w:cs="Arial"/>
          <w:sz w:val="20"/>
          <w:szCs w:val="20"/>
        </w:rPr>
        <w:t>.</w:t>
      </w:r>
    </w:p>
    <w:p w14:paraId="3F567D5A" w14:textId="77777777" w:rsidR="00680DEB" w:rsidRDefault="00680DE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413AE86" w14:textId="4FFC4DB5" w:rsidR="004E1DF7" w:rsidRPr="0088651D" w:rsidRDefault="00DE6CA8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>Místo plnění bude uvedeno</w:t>
      </w:r>
      <w:r>
        <w:rPr>
          <w:rFonts w:ascii="Arial" w:hAnsi="Arial" w:cs="Arial"/>
          <w:sz w:val="20"/>
          <w:szCs w:val="20"/>
        </w:rPr>
        <w:t xml:space="preserve"> vždy v jednotlivém pokynu dle čl. 3 této kupní smlouvy.</w:t>
      </w:r>
    </w:p>
    <w:p w14:paraId="26CC4059" w14:textId="05EA2ADF" w:rsidR="007D4D1C" w:rsidRPr="001756B9" w:rsidRDefault="007D4D1C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</w:t>
      </w:r>
      <w:r w:rsidRPr="00064FD2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ými</w:t>
      </w:r>
      <w:r w:rsidRPr="00064FD2">
        <w:rPr>
          <w:rFonts w:ascii="Arial" w:hAnsi="Arial" w:cs="Arial"/>
          <w:sz w:val="20"/>
          <w:szCs w:val="20"/>
        </w:rPr>
        <w:t xml:space="preserve"> k dohodě o podmínkách realizace jednotlivých dodávek dle čl. </w:t>
      </w:r>
      <w:proofErr w:type="gramStart"/>
      <w:r w:rsidRPr="00064FD2">
        <w:rPr>
          <w:rFonts w:ascii="Arial" w:hAnsi="Arial" w:cs="Arial"/>
          <w:sz w:val="20"/>
          <w:szCs w:val="20"/>
        </w:rPr>
        <w:t>3.</w:t>
      </w:r>
      <w:r w:rsidR="00ED30C8">
        <w:rPr>
          <w:rFonts w:ascii="Arial" w:hAnsi="Arial" w:cs="Arial"/>
          <w:sz w:val="20"/>
          <w:szCs w:val="20"/>
        </w:rPr>
        <w:t>4</w:t>
      </w:r>
      <w:r w:rsidRPr="00064FD2">
        <w:rPr>
          <w:rFonts w:ascii="Arial" w:hAnsi="Arial" w:cs="Arial"/>
          <w:sz w:val="20"/>
          <w:szCs w:val="20"/>
        </w:rPr>
        <w:t>. této</w:t>
      </w:r>
      <w:proofErr w:type="gramEnd"/>
      <w:r w:rsidRPr="00064F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kupní smlouvy</w:t>
      </w:r>
      <w:r w:rsidRPr="00064FD2">
        <w:rPr>
          <w:rFonts w:ascii="Arial" w:hAnsi="Arial" w:cs="Arial"/>
          <w:sz w:val="20"/>
          <w:szCs w:val="20"/>
        </w:rPr>
        <w:t xml:space="preserve"> za kupujícího jsou osoby uvedené v</w:t>
      </w:r>
      <w:r>
        <w:rPr>
          <w:rFonts w:ascii="Arial" w:hAnsi="Arial" w:cs="Arial"/>
          <w:sz w:val="20"/>
          <w:szCs w:val="20"/>
        </w:rPr>
        <w:t> čl. 4.3.</w:t>
      </w:r>
      <w:r w:rsidRPr="00064FD2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kupní smlouvy.</w:t>
      </w:r>
    </w:p>
    <w:p w14:paraId="1D09DF48" w14:textId="3CDA699A" w:rsidR="007A37C4" w:rsidRPr="007A37C4" w:rsidRDefault="00326BA1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73738E" w:rsidRPr="007A37C4">
        <w:rPr>
          <w:rFonts w:ascii="Arial" w:hAnsi="Arial" w:cs="Arial"/>
          <w:sz w:val="20"/>
          <w:szCs w:val="20"/>
        </w:rPr>
        <w:t>k</w:t>
      </w:r>
      <w:r w:rsidR="00CB4BE1">
        <w:rPr>
          <w:rFonts w:ascii="Arial" w:hAnsi="Arial" w:cs="Arial"/>
          <w:sz w:val="20"/>
          <w:szCs w:val="20"/>
        </w:rPr>
        <w:t> udělování pokynů</w:t>
      </w:r>
      <w:r w:rsidR="008549D5">
        <w:rPr>
          <w:rFonts w:ascii="Arial" w:hAnsi="Arial" w:cs="Arial"/>
          <w:sz w:val="20"/>
          <w:szCs w:val="20"/>
        </w:rPr>
        <w:t xml:space="preserve"> dle čl. 3 této kupní smlouvy</w:t>
      </w:r>
      <w:r w:rsidR="0073738E">
        <w:rPr>
          <w:rFonts w:ascii="Arial" w:hAnsi="Arial" w:cs="Arial"/>
          <w:sz w:val="20"/>
          <w:szCs w:val="20"/>
        </w:rPr>
        <w:t xml:space="preserve"> </w:t>
      </w:r>
      <w:r w:rsidR="007A37C4" w:rsidRPr="007A37C4">
        <w:rPr>
          <w:rFonts w:ascii="Arial" w:hAnsi="Arial" w:cs="Arial"/>
          <w:sz w:val="20"/>
          <w:szCs w:val="20"/>
        </w:rPr>
        <w:t xml:space="preserve">za </w:t>
      </w:r>
      <w:r w:rsidR="008549D5">
        <w:rPr>
          <w:rFonts w:ascii="Arial" w:hAnsi="Arial" w:cs="Arial"/>
          <w:sz w:val="20"/>
          <w:szCs w:val="20"/>
        </w:rPr>
        <w:t>kupujícího</w:t>
      </w:r>
      <w:r w:rsidR="008549D5" w:rsidRPr="007A37C4"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jsou</w:t>
      </w:r>
      <w:r w:rsidR="003644AC">
        <w:rPr>
          <w:rFonts w:ascii="Arial" w:hAnsi="Arial" w:cs="Arial"/>
          <w:sz w:val="20"/>
          <w:szCs w:val="20"/>
        </w:rPr>
        <w:t xml:space="preserve"> osoby uvedené v příloze č. 1 této kupní smlouvy a dále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1B3A7703" w14:textId="3734BC91" w:rsidR="00DB716D" w:rsidRPr="00DB716D" w:rsidRDefault="00DB716D" w:rsidP="00DB716D">
      <w:pPr>
        <w:pStyle w:val="rove2"/>
        <w:numPr>
          <w:ilvl w:val="0"/>
          <w:numId w:val="14"/>
        </w:numPr>
        <w:spacing w:before="120"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</w:t>
      </w:r>
      <w:r w:rsidRPr="00DB716D">
        <w:rPr>
          <w:rFonts w:ascii="Arial" w:hAnsi="Arial" w:cs="Arial"/>
          <w:sz w:val="20"/>
          <w:szCs w:val="20"/>
        </w:rPr>
        <w:t xml:space="preserve"> Žižka, tel.: +420 771 230 997, e</w:t>
      </w:r>
      <w:r w:rsidR="00ED30C8">
        <w:rPr>
          <w:rFonts w:ascii="Arial" w:hAnsi="Arial" w:cs="Arial"/>
          <w:sz w:val="20"/>
          <w:szCs w:val="20"/>
        </w:rPr>
        <w:t>-</w:t>
      </w:r>
      <w:r w:rsidRPr="00DB716D">
        <w:rPr>
          <w:rFonts w:ascii="Arial" w:hAnsi="Arial" w:cs="Arial"/>
          <w:sz w:val="20"/>
          <w:szCs w:val="20"/>
        </w:rPr>
        <w:t xml:space="preserve">mail: </w:t>
      </w:r>
      <w:hyperlink r:id="rId11" w:history="1">
        <w:r w:rsidRPr="00DB716D">
          <w:rPr>
            <w:rStyle w:val="Hypertextovodkaz"/>
            <w:rFonts w:ascii="Arial" w:hAnsi="Arial" w:cs="Arial"/>
            <w:sz w:val="20"/>
            <w:szCs w:val="20"/>
          </w:rPr>
          <w:t>daniel.zizka@suspk.eu</w:t>
        </w:r>
      </w:hyperlink>
    </w:p>
    <w:p w14:paraId="38854541" w14:textId="708B760F" w:rsidR="005C21F8" w:rsidRPr="00DB716D" w:rsidRDefault="005C21F8" w:rsidP="00DB716D">
      <w:pPr>
        <w:pStyle w:val="rove2"/>
        <w:numPr>
          <w:ilvl w:val="0"/>
          <w:numId w:val="14"/>
        </w:numPr>
        <w:spacing w:before="120" w:line="276" w:lineRule="auto"/>
        <w:ind w:left="993" w:hanging="426"/>
        <w:rPr>
          <w:rFonts w:ascii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Cs/>
          <w:sz w:val="20"/>
          <w:szCs w:val="20"/>
        </w:rPr>
        <w:t>Miroslav Ulašín ml.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>tel.</w:t>
      </w:r>
      <w:r w:rsidR="00ED30C8">
        <w:rPr>
          <w:rFonts w:ascii="Arial" w:eastAsia="Arial" w:hAnsi="Arial" w:cs="Arial"/>
          <w:sz w:val="20"/>
          <w:szCs w:val="20"/>
        </w:rPr>
        <w:t>:</w:t>
      </w:r>
      <w:r w:rsidR="00C15A3A" w:rsidRPr="005C21F8">
        <w:rPr>
          <w:rFonts w:ascii="Arial" w:eastAsia="Arial" w:hAnsi="Arial" w:cs="Arial"/>
          <w:sz w:val="20"/>
          <w:szCs w:val="20"/>
        </w:rPr>
        <w:t xml:space="preserve"> +</w:t>
      </w:r>
      <w:r w:rsidR="00C15A3A" w:rsidRPr="00DB716D">
        <w:rPr>
          <w:rFonts w:ascii="Arial" w:eastAsia="Arial" w:hAnsi="Arial" w:cs="Arial"/>
          <w:sz w:val="20"/>
          <w:szCs w:val="20"/>
        </w:rPr>
        <w:t>420</w:t>
      </w:r>
      <w:r w:rsidRPr="00DB716D">
        <w:rPr>
          <w:rFonts w:ascii="Arial" w:eastAsia="Arial" w:hAnsi="Arial" w:cs="Arial"/>
          <w:sz w:val="20"/>
          <w:szCs w:val="20"/>
        </w:rPr>
        <w:t> </w:t>
      </w:r>
      <w:r w:rsidRPr="00DB716D">
        <w:rPr>
          <w:rFonts w:ascii="Arial" w:eastAsia="Arial" w:hAnsi="Arial" w:cs="Arial"/>
          <w:bCs/>
          <w:sz w:val="20"/>
          <w:szCs w:val="20"/>
        </w:rPr>
        <w:t>773 791 171</w:t>
      </w:r>
      <w:r w:rsidR="00C15A3A" w:rsidRPr="00DB716D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DB716D">
        <w:rPr>
          <w:rFonts w:ascii="Arial" w:eastAsia="Arial" w:hAnsi="Arial" w:cs="Arial"/>
          <w:sz w:val="20"/>
          <w:szCs w:val="20"/>
        </w:rPr>
        <w:t xml:space="preserve">e-mail: </w:t>
      </w:r>
      <w:hyperlink r:id="rId12" w:history="1">
        <w:r w:rsidRPr="00DB716D">
          <w:rPr>
            <w:rStyle w:val="Hypertextovodkaz"/>
            <w:rFonts w:ascii="Arial" w:eastAsia="Arial" w:hAnsi="Arial" w:cs="Arial"/>
            <w:bCs/>
            <w:sz w:val="20"/>
            <w:szCs w:val="20"/>
          </w:rPr>
          <w:t>miroslav.ulasinm@suspk.eu</w:t>
        </w:r>
      </w:hyperlink>
    </w:p>
    <w:p w14:paraId="1EC780EF" w14:textId="7C7A2ECA" w:rsidR="00C15A3A" w:rsidRPr="00DB716D" w:rsidRDefault="00DB716D" w:rsidP="004E7757">
      <w:pPr>
        <w:pStyle w:val="rove2"/>
        <w:numPr>
          <w:ilvl w:val="0"/>
          <w:numId w:val="14"/>
        </w:numPr>
        <w:spacing w:before="120" w:line="276" w:lineRule="auto"/>
        <w:ind w:left="993" w:hanging="426"/>
        <w:rPr>
          <w:rFonts w:ascii="Arial" w:hAnsi="Arial" w:cs="Arial"/>
          <w:sz w:val="20"/>
          <w:szCs w:val="20"/>
        </w:rPr>
      </w:pPr>
      <w:r w:rsidRPr="00DB716D">
        <w:rPr>
          <w:rFonts w:ascii="Arial" w:eastAsia="Arial" w:hAnsi="Arial" w:cs="Arial"/>
          <w:bCs/>
          <w:sz w:val="20"/>
          <w:szCs w:val="20"/>
        </w:rPr>
        <w:t>Bc. Radek Šíma</w:t>
      </w:r>
      <w:r w:rsidR="005C21F8" w:rsidRPr="00DB716D">
        <w:rPr>
          <w:rFonts w:ascii="Arial" w:eastAsia="Arial" w:hAnsi="Arial" w:cs="Arial"/>
          <w:bCs/>
          <w:sz w:val="20"/>
          <w:szCs w:val="20"/>
        </w:rPr>
        <w:t>, tel.</w:t>
      </w:r>
      <w:r w:rsidR="00ED30C8">
        <w:rPr>
          <w:rFonts w:ascii="Arial" w:eastAsia="Arial" w:hAnsi="Arial" w:cs="Arial"/>
          <w:bCs/>
          <w:sz w:val="20"/>
          <w:szCs w:val="20"/>
        </w:rPr>
        <w:t>:</w:t>
      </w:r>
      <w:r w:rsidR="005C21F8" w:rsidRPr="00DB716D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DB716D">
        <w:rPr>
          <w:rFonts w:ascii="Arial" w:eastAsia="Arial" w:hAnsi="Arial" w:cs="Arial"/>
          <w:bCs/>
          <w:sz w:val="20"/>
          <w:szCs w:val="20"/>
        </w:rPr>
        <w:t>+420</w:t>
      </w:r>
      <w:r w:rsidR="004E7757">
        <w:rPr>
          <w:rFonts w:ascii="Arial" w:eastAsia="Arial" w:hAnsi="Arial" w:cs="Arial"/>
          <w:bCs/>
          <w:sz w:val="20"/>
          <w:szCs w:val="20"/>
        </w:rPr>
        <w:t> </w:t>
      </w:r>
      <w:r w:rsidR="004E7757" w:rsidRPr="004E7757">
        <w:rPr>
          <w:rFonts w:ascii="Arial" w:eastAsia="Arial" w:hAnsi="Arial" w:cs="Arial"/>
          <w:bCs/>
          <w:sz w:val="20"/>
          <w:szCs w:val="20"/>
        </w:rPr>
        <w:t>778</w:t>
      </w:r>
      <w:r w:rsidR="004E7757">
        <w:rPr>
          <w:rFonts w:ascii="Arial" w:eastAsia="Arial" w:hAnsi="Arial" w:cs="Arial"/>
          <w:bCs/>
          <w:sz w:val="20"/>
          <w:szCs w:val="20"/>
        </w:rPr>
        <w:t> </w:t>
      </w:r>
      <w:r w:rsidR="004E7757" w:rsidRPr="004E7757">
        <w:rPr>
          <w:rFonts w:ascii="Arial" w:eastAsia="Arial" w:hAnsi="Arial" w:cs="Arial"/>
          <w:bCs/>
          <w:sz w:val="20"/>
          <w:szCs w:val="20"/>
        </w:rPr>
        <w:t>434</w:t>
      </w:r>
      <w:r w:rsidR="004E7757">
        <w:rPr>
          <w:rFonts w:ascii="Arial" w:eastAsia="Arial" w:hAnsi="Arial" w:cs="Arial"/>
          <w:bCs/>
          <w:sz w:val="20"/>
          <w:szCs w:val="20"/>
        </w:rPr>
        <w:t xml:space="preserve"> </w:t>
      </w:r>
      <w:r w:rsidR="004E7757" w:rsidRPr="004E7757">
        <w:rPr>
          <w:rFonts w:ascii="Arial" w:eastAsia="Arial" w:hAnsi="Arial" w:cs="Arial"/>
          <w:bCs/>
          <w:sz w:val="20"/>
          <w:szCs w:val="20"/>
        </w:rPr>
        <w:t>199</w:t>
      </w:r>
      <w:r w:rsidR="005C21F8" w:rsidRPr="00DB716D">
        <w:rPr>
          <w:rFonts w:ascii="Arial" w:eastAsia="Arial" w:hAnsi="Arial" w:cs="Arial"/>
          <w:bCs/>
          <w:sz w:val="20"/>
          <w:szCs w:val="20"/>
        </w:rPr>
        <w:t xml:space="preserve">, e-mail: </w:t>
      </w:r>
      <w:hyperlink r:id="rId13" w:history="1">
        <w:r w:rsidR="004E7757" w:rsidRPr="00C24680">
          <w:rPr>
            <w:rStyle w:val="Hypertextovodkaz"/>
            <w:rFonts w:ascii="Arial" w:hAnsi="Arial" w:cs="Arial"/>
            <w:sz w:val="20"/>
            <w:szCs w:val="20"/>
          </w:rPr>
          <w:t>radek.sima@suspk.eu</w:t>
        </w:r>
      </w:hyperlink>
      <w:r w:rsidRPr="00DB716D">
        <w:rPr>
          <w:rFonts w:ascii="Arial" w:hAnsi="Arial" w:cs="Arial"/>
          <w:sz w:val="20"/>
          <w:szCs w:val="20"/>
        </w:rPr>
        <w:t xml:space="preserve"> </w:t>
      </w:r>
      <w:r w:rsidR="005C21F8" w:rsidRPr="00DB716D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66AA1801" w14:textId="35D7A808" w:rsidR="001756B9" w:rsidRPr="007A37C4" w:rsidRDefault="001756B9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 w:rsidR="00CB4BE1">
        <w:rPr>
          <w:rFonts w:ascii="Arial" w:hAnsi="Arial" w:cs="Arial"/>
          <w:sz w:val="20"/>
          <w:szCs w:val="20"/>
        </w:rPr>
        <w:t> přijímání a zpracovávání pokynů</w:t>
      </w:r>
      <w:r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 xml:space="preserve">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 w:rsidR="00A311E0"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 w:rsidR="00CB4BE1">
        <w:rPr>
          <w:rFonts w:ascii="Arial" w:hAnsi="Arial" w:cs="Arial"/>
          <w:sz w:val="20"/>
          <w:szCs w:val="20"/>
        </w:rPr>
        <w:t>sou</w:t>
      </w:r>
      <w:r w:rsidRPr="007A37C4">
        <w:rPr>
          <w:rFonts w:ascii="Arial" w:hAnsi="Arial" w:cs="Arial"/>
          <w:sz w:val="20"/>
          <w:szCs w:val="20"/>
        </w:rPr>
        <w:t>:</w:t>
      </w:r>
    </w:p>
    <w:p w14:paraId="2667CDA2" w14:textId="0736D481" w:rsidR="001756B9" w:rsidRPr="00651DF6" w:rsidRDefault="00DB716D" w:rsidP="007B6EA7">
      <w:pPr>
        <w:pStyle w:val="rove2"/>
        <w:numPr>
          <w:ilvl w:val="0"/>
          <w:numId w:val="15"/>
        </w:numPr>
        <w:spacing w:before="120" w:line="276" w:lineRule="auto"/>
        <w:ind w:left="993"/>
        <w:rPr>
          <w:rFonts w:ascii="Arial" w:hAnsi="Arial" w:cs="Arial"/>
          <w:sz w:val="20"/>
          <w:szCs w:val="20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531096">
        <w:rPr>
          <w:rFonts w:ascii="Arial" w:hAnsi="Arial" w:cs="Arial"/>
          <w:sz w:val="20"/>
          <w:szCs w:val="20"/>
          <w:highlight w:val="yellow"/>
        </w:rPr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="001756B9" w:rsidRPr="00651DF6">
        <w:rPr>
          <w:rFonts w:ascii="Arial" w:eastAsia="Arial" w:hAnsi="Arial" w:cs="Arial"/>
          <w:bCs/>
          <w:sz w:val="20"/>
          <w:szCs w:val="20"/>
        </w:rPr>
        <w:t xml:space="preserve">, </w:t>
      </w:r>
      <w:r w:rsidR="001756B9" w:rsidRPr="00651DF6">
        <w:rPr>
          <w:rFonts w:ascii="Arial" w:eastAsia="Arial" w:hAnsi="Arial" w:cs="Arial"/>
          <w:sz w:val="20"/>
          <w:szCs w:val="20"/>
        </w:rPr>
        <w:t>tel.</w:t>
      </w:r>
      <w:r w:rsidR="00ED30C8">
        <w:rPr>
          <w:rFonts w:ascii="Arial" w:eastAsia="Arial" w:hAnsi="Arial" w:cs="Arial"/>
          <w:sz w:val="20"/>
          <w:szCs w:val="20"/>
        </w:rPr>
        <w:t>:</w:t>
      </w:r>
      <w:r w:rsidR="001756B9" w:rsidRPr="00651DF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531096">
        <w:rPr>
          <w:rFonts w:ascii="Arial" w:hAnsi="Arial" w:cs="Arial"/>
          <w:sz w:val="20"/>
          <w:szCs w:val="20"/>
          <w:highlight w:val="yellow"/>
        </w:rPr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="001756B9" w:rsidRPr="00651DF6">
        <w:rPr>
          <w:rFonts w:ascii="Arial" w:eastAsia="Arial" w:hAnsi="Arial" w:cs="Arial"/>
          <w:bCs/>
          <w:sz w:val="20"/>
          <w:szCs w:val="20"/>
        </w:rPr>
        <w:t xml:space="preserve">, </w:t>
      </w:r>
      <w:r w:rsidR="001756B9" w:rsidRPr="00651DF6">
        <w:rPr>
          <w:rFonts w:ascii="Arial" w:eastAsia="Arial" w:hAnsi="Arial" w:cs="Arial"/>
          <w:sz w:val="20"/>
          <w:szCs w:val="20"/>
        </w:rPr>
        <w:t xml:space="preserve">e-mail: </w:t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531096">
        <w:rPr>
          <w:rFonts w:ascii="Arial" w:hAnsi="Arial" w:cs="Arial"/>
          <w:sz w:val="20"/>
          <w:szCs w:val="20"/>
          <w:highlight w:val="yellow"/>
        </w:rPr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7488F92" w14:textId="04281C33" w:rsidR="008E65C2" w:rsidRPr="009C6C23" w:rsidRDefault="008E65C2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 w:rsidR="00B039BC">
        <w:rPr>
          <w:rFonts w:ascii="Arial" w:hAnsi="Arial" w:cs="Arial"/>
          <w:sz w:val="20"/>
          <w:szCs w:val="20"/>
        </w:rPr>
        <w:t>bud</w:t>
      </w:r>
      <w:r w:rsidR="00326BA1">
        <w:rPr>
          <w:rFonts w:ascii="Arial" w:hAnsi="Arial" w:cs="Arial"/>
          <w:sz w:val="20"/>
          <w:szCs w:val="20"/>
        </w:rPr>
        <w:t>ou</w:t>
      </w:r>
      <w:r w:rsidR="00B039BC">
        <w:rPr>
          <w:rFonts w:ascii="Arial" w:hAnsi="Arial" w:cs="Arial"/>
          <w:sz w:val="20"/>
          <w:szCs w:val="20"/>
        </w:rPr>
        <w:t xml:space="preserve"> </w:t>
      </w:r>
      <w:r w:rsidR="00326BA1">
        <w:rPr>
          <w:rFonts w:ascii="Arial" w:hAnsi="Arial" w:cs="Arial"/>
          <w:sz w:val="20"/>
          <w:szCs w:val="20"/>
        </w:rPr>
        <w:t>oznámeny</w:t>
      </w:r>
      <w:r w:rsidR="00326BA1" w:rsidRPr="009C6C23">
        <w:rPr>
          <w:rFonts w:ascii="Arial" w:hAnsi="Arial" w:cs="Arial"/>
          <w:sz w:val="20"/>
          <w:szCs w:val="20"/>
        </w:rPr>
        <w:t xml:space="preserve"> </w:t>
      </w:r>
      <w:r w:rsidRPr="009C6C23">
        <w:rPr>
          <w:rFonts w:ascii="Arial" w:hAnsi="Arial" w:cs="Arial"/>
          <w:sz w:val="20"/>
          <w:szCs w:val="20"/>
        </w:rPr>
        <w:t>druhé smluvní straně písemně</w:t>
      </w:r>
      <w:r w:rsidR="009C566F"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Pr="009C6C23">
        <w:rPr>
          <w:rFonts w:ascii="Arial" w:hAnsi="Arial" w:cs="Arial"/>
          <w:sz w:val="20"/>
          <w:szCs w:val="20"/>
        </w:rPr>
        <w:t>.</w:t>
      </w:r>
    </w:p>
    <w:p w14:paraId="35B8DE6F" w14:textId="77777777" w:rsidR="00E72758" w:rsidRPr="001E52A1" w:rsidRDefault="00E727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04906CE3" w14:textId="76151F21" w:rsidR="007B6EA7" w:rsidRPr="00064FD2" w:rsidRDefault="007B6EA7" w:rsidP="007B6EA7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>Kupní cena, resp. jednotková cena za dodávku 1 litru TOEL bude uvedena vždy v</w:t>
      </w:r>
      <w:r w:rsidR="00FC7826">
        <w:rPr>
          <w:rFonts w:ascii="Arial" w:hAnsi="Arial" w:cs="Arial"/>
          <w:sz w:val="20"/>
          <w:szCs w:val="20"/>
        </w:rPr>
        <w:t> </w:t>
      </w:r>
      <w:r w:rsidRPr="00064FD2">
        <w:rPr>
          <w:rFonts w:ascii="Arial" w:hAnsi="Arial" w:cs="Arial"/>
          <w:sz w:val="20"/>
          <w:szCs w:val="20"/>
        </w:rPr>
        <w:t>jednotlivé</w:t>
      </w:r>
      <w:r w:rsidR="00FC7826">
        <w:rPr>
          <w:rFonts w:ascii="Arial" w:hAnsi="Arial" w:cs="Arial"/>
          <w:sz w:val="20"/>
          <w:szCs w:val="20"/>
        </w:rPr>
        <w:t>m pokynu</w:t>
      </w:r>
      <w:r w:rsidRPr="00064FD2">
        <w:rPr>
          <w:rFonts w:ascii="Arial" w:hAnsi="Arial" w:cs="Arial"/>
          <w:sz w:val="20"/>
          <w:szCs w:val="20"/>
        </w:rPr>
        <w:t xml:space="preserve"> a bude stanovena v návaznosti na okamžik odeslání </w:t>
      </w:r>
      <w:r w:rsidR="005610D3">
        <w:rPr>
          <w:rFonts w:ascii="Arial" w:hAnsi="Arial" w:cs="Arial"/>
          <w:sz w:val="20"/>
          <w:szCs w:val="20"/>
        </w:rPr>
        <w:t>pokynu</w:t>
      </w:r>
      <w:r w:rsidRPr="00064FD2">
        <w:rPr>
          <w:rFonts w:ascii="Arial" w:hAnsi="Arial" w:cs="Arial"/>
          <w:sz w:val="20"/>
          <w:szCs w:val="20"/>
        </w:rPr>
        <w:t xml:space="preserve"> dle čl. </w:t>
      </w:r>
      <w:proofErr w:type="gramStart"/>
      <w:r w:rsidRPr="00064FD2">
        <w:rPr>
          <w:rFonts w:ascii="Arial" w:hAnsi="Arial" w:cs="Arial"/>
          <w:sz w:val="20"/>
          <w:szCs w:val="20"/>
        </w:rPr>
        <w:t>3.1. této</w:t>
      </w:r>
      <w:proofErr w:type="gramEnd"/>
      <w:r w:rsidRPr="00064FD2">
        <w:rPr>
          <w:rFonts w:ascii="Arial" w:hAnsi="Arial" w:cs="Arial"/>
          <w:sz w:val="20"/>
          <w:szCs w:val="20"/>
        </w:rPr>
        <w:t xml:space="preserve"> </w:t>
      </w:r>
      <w:r w:rsidR="005610D3">
        <w:rPr>
          <w:rFonts w:ascii="Arial" w:hAnsi="Arial" w:cs="Arial"/>
          <w:sz w:val="20"/>
          <w:szCs w:val="20"/>
        </w:rPr>
        <w:t>kup</w:t>
      </w:r>
      <w:r w:rsidR="0093356B">
        <w:rPr>
          <w:rFonts w:ascii="Arial" w:hAnsi="Arial" w:cs="Arial"/>
          <w:sz w:val="20"/>
          <w:szCs w:val="20"/>
        </w:rPr>
        <w:t>n</w:t>
      </w:r>
      <w:r w:rsidR="005610D3">
        <w:rPr>
          <w:rFonts w:ascii="Arial" w:hAnsi="Arial" w:cs="Arial"/>
          <w:sz w:val="20"/>
          <w:szCs w:val="20"/>
        </w:rPr>
        <w:t>í smlouv</w:t>
      </w:r>
      <w:r w:rsidRPr="00064FD2">
        <w:rPr>
          <w:rFonts w:ascii="Arial" w:hAnsi="Arial" w:cs="Arial"/>
          <w:sz w:val="20"/>
          <w:szCs w:val="20"/>
        </w:rPr>
        <w:t>y na základě následujícího vzorce:</w:t>
      </w:r>
    </w:p>
    <w:p w14:paraId="1ECD2F96" w14:textId="06914F35" w:rsidR="006D2829" w:rsidRDefault="006D2829" w:rsidP="007B6EA7">
      <w:pPr>
        <w:pStyle w:val="NormlnIMP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</w:tabs>
        <w:spacing w:after="120" w:line="276" w:lineRule="auto"/>
        <w:ind w:left="567" w:hanging="283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 </w:t>
      </w:r>
      <w:proofErr w:type="spellStart"/>
      <w:r w:rsidRPr="006D2829">
        <w:rPr>
          <w:rFonts w:ascii="Arial" w:hAnsi="Arial" w:cs="Arial"/>
          <w:bCs/>
          <w:szCs w:val="22"/>
        </w:rPr>
        <w:t>Cp</w:t>
      </w:r>
      <w:proofErr w:type="spellEnd"/>
      <w:r w:rsidRPr="006D2829">
        <w:rPr>
          <w:rFonts w:ascii="Arial" w:hAnsi="Arial" w:cs="Arial"/>
          <w:bCs/>
          <w:szCs w:val="22"/>
        </w:rPr>
        <w:t xml:space="preserve"> = ((PTNM + IP) * KT ) * DR /1000 + </w:t>
      </w:r>
      <w:proofErr w:type="spellStart"/>
      <w:r w:rsidRPr="006D2829">
        <w:rPr>
          <w:rFonts w:ascii="Arial" w:hAnsi="Arial" w:cs="Arial"/>
          <w:bCs/>
          <w:szCs w:val="22"/>
        </w:rPr>
        <w:t>SpD</w:t>
      </w:r>
      <w:proofErr w:type="spellEnd"/>
      <w:r w:rsidRPr="006D2829">
        <w:rPr>
          <w:rFonts w:ascii="Arial" w:hAnsi="Arial" w:cs="Arial"/>
          <w:bCs/>
          <w:szCs w:val="22"/>
        </w:rPr>
        <w:t>/1000</w:t>
      </w:r>
    </w:p>
    <w:p w14:paraId="3545E146" w14:textId="51C3C59B" w:rsidR="007B6EA7" w:rsidRDefault="007B6EA7" w:rsidP="007B6EA7">
      <w:pPr>
        <w:pStyle w:val="NormlnIMP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</w:tabs>
        <w:spacing w:after="120" w:line="276" w:lineRule="auto"/>
        <w:ind w:left="567" w:hanging="283"/>
        <w:rPr>
          <w:rFonts w:ascii="Arial" w:hAnsi="Arial" w:cs="Arial"/>
          <w:color w:val="000000"/>
        </w:rPr>
      </w:pPr>
      <w:r w:rsidRPr="00064FD2">
        <w:rPr>
          <w:rFonts w:ascii="Arial" w:hAnsi="Arial" w:cs="Arial"/>
          <w:color w:val="000000"/>
        </w:rPr>
        <w:tab/>
        <w:t>přičemž</w:t>
      </w:r>
      <w:r>
        <w:rPr>
          <w:rFonts w:ascii="Arial" w:hAnsi="Arial" w:cs="Arial"/>
          <w:color w:val="000000"/>
        </w:rPr>
        <w:t>:</w:t>
      </w:r>
    </w:p>
    <w:p w14:paraId="66136F95" w14:textId="77777777" w:rsidR="006D2829" w:rsidRPr="00064FD2" w:rsidRDefault="006D2829" w:rsidP="007B6EA7">
      <w:pPr>
        <w:pStyle w:val="NormlnIMP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</w:tabs>
        <w:spacing w:after="120" w:line="276" w:lineRule="auto"/>
        <w:ind w:left="567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7603"/>
      </w:tblGrid>
      <w:tr w:rsidR="006D2829" w:rsidRPr="00F601E6" w14:paraId="100E1B9D" w14:textId="77777777" w:rsidTr="006D2829">
        <w:trPr>
          <w:trHeight w:hRule="exact" w:val="902"/>
          <w:jc w:val="center"/>
        </w:trPr>
        <w:tc>
          <w:tcPr>
            <w:tcW w:w="1550" w:type="dxa"/>
            <w:shd w:val="clear" w:color="auto" w:fill="FFFFFF"/>
          </w:tcPr>
          <w:p w14:paraId="12ACA71C" w14:textId="77777777" w:rsidR="006D2829" w:rsidRPr="006D2829" w:rsidRDefault="006D2829" w:rsidP="006D2829">
            <w:pPr>
              <w:pStyle w:val="Jin0"/>
              <w:shd w:val="clear" w:color="auto" w:fill="auto"/>
              <w:spacing w:line="240" w:lineRule="auto"/>
              <w:ind w:left="0" w:firstLine="0"/>
              <w:rPr>
                <w:rFonts w:ascii="Arial" w:hAnsi="Arial" w:cs="Arial"/>
                <w:i w:val="0"/>
              </w:rPr>
            </w:pPr>
            <w:r w:rsidRPr="006D2829">
              <w:rPr>
                <w:rFonts w:ascii="Arial" w:hAnsi="Arial" w:cs="Arial"/>
                <w:b/>
                <w:bCs/>
                <w:i w:val="0"/>
                <w:color w:val="000000"/>
                <w:lang w:bidi="cs-CZ"/>
              </w:rPr>
              <w:t>IP</w:t>
            </w:r>
          </w:p>
        </w:tc>
        <w:tc>
          <w:tcPr>
            <w:tcW w:w="7603" w:type="dxa"/>
            <w:shd w:val="clear" w:color="auto" w:fill="FFFFFF"/>
            <w:vAlign w:val="bottom"/>
          </w:tcPr>
          <w:p w14:paraId="049399F1" w14:textId="5F8567F1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  <w:color w:val="000000"/>
                <w:lang w:bidi="cs-CZ"/>
              </w:rPr>
            </w:pPr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>je prémie tuzemského trhu v USD za 1 metrickou tunu, vystihující obvyklé náklady prodávajícího na dopravu, skladování a administrativu na tuzemském trhu</w:t>
            </w:r>
            <w:r w:rsidR="00BF57B4">
              <w:rPr>
                <w:rFonts w:ascii="Arial" w:hAnsi="Arial" w:cs="Arial"/>
                <w:i w:val="0"/>
                <w:color w:val="000000"/>
                <w:lang w:bidi="cs-CZ"/>
              </w:rPr>
              <w:t xml:space="preserve">. </w:t>
            </w:r>
            <w:r w:rsidR="00BF57B4" w:rsidRPr="00BF57B4">
              <w:rPr>
                <w:rFonts w:ascii="Arial" w:hAnsi="Arial" w:cs="Arial"/>
                <w:i w:val="0"/>
                <w:color w:val="000000"/>
                <w:lang w:bidi="cs-CZ"/>
              </w:rPr>
              <w:t>Tato položka je po celou dobu smluvního vztahu neměnná.</w:t>
            </w:r>
          </w:p>
          <w:p w14:paraId="2D8571F1" w14:textId="77777777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  <w:color w:val="000000"/>
                <w:lang w:bidi="cs-CZ"/>
              </w:rPr>
            </w:pPr>
          </w:p>
          <w:p w14:paraId="7370F7A6" w14:textId="77777777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  <w:color w:val="000000"/>
                <w:lang w:bidi="cs-CZ"/>
              </w:rPr>
            </w:pPr>
          </w:p>
          <w:p w14:paraId="4FD997FC" w14:textId="77777777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  <w:color w:val="000000"/>
                <w:lang w:bidi="cs-CZ"/>
              </w:rPr>
            </w:pPr>
          </w:p>
          <w:p w14:paraId="69A881F9" w14:textId="77777777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  <w:color w:val="000000"/>
                <w:lang w:bidi="cs-CZ"/>
              </w:rPr>
            </w:pPr>
          </w:p>
          <w:p w14:paraId="008F2F16" w14:textId="77777777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</w:rPr>
            </w:pPr>
          </w:p>
        </w:tc>
      </w:tr>
      <w:tr w:rsidR="006D2829" w:rsidRPr="00F601E6" w14:paraId="781ECBE6" w14:textId="77777777" w:rsidTr="006D2829">
        <w:trPr>
          <w:trHeight w:hRule="exact" w:val="979"/>
          <w:jc w:val="center"/>
        </w:trPr>
        <w:tc>
          <w:tcPr>
            <w:tcW w:w="1550" w:type="dxa"/>
            <w:shd w:val="clear" w:color="auto" w:fill="FFFFFF"/>
          </w:tcPr>
          <w:p w14:paraId="0846077E" w14:textId="77777777" w:rsidR="006D2829" w:rsidRPr="006D2829" w:rsidRDefault="006D2829" w:rsidP="006D2829">
            <w:pPr>
              <w:pStyle w:val="Jin0"/>
              <w:shd w:val="clear" w:color="auto" w:fill="auto"/>
              <w:spacing w:line="240" w:lineRule="auto"/>
              <w:ind w:left="0" w:firstLine="0"/>
              <w:rPr>
                <w:rFonts w:ascii="Arial" w:hAnsi="Arial" w:cs="Arial"/>
                <w:i w:val="0"/>
              </w:rPr>
            </w:pPr>
            <w:r w:rsidRPr="006D2829">
              <w:rPr>
                <w:rFonts w:ascii="Arial" w:hAnsi="Arial" w:cs="Arial"/>
                <w:b/>
                <w:bCs/>
                <w:i w:val="0"/>
                <w:color w:val="000000"/>
                <w:lang w:bidi="cs-CZ"/>
              </w:rPr>
              <w:t>SPD</w:t>
            </w:r>
          </w:p>
        </w:tc>
        <w:tc>
          <w:tcPr>
            <w:tcW w:w="7603" w:type="dxa"/>
            <w:shd w:val="clear" w:color="auto" w:fill="FFFFFF"/>
            <w:vAlign w:val="bottom"/>
          </w:tcPr>
          <w:p w14:paraId="019A2742" w14:textId="77777777" w:rsidR="006D2829" w:rsidRPr="006D2829" w:rsidRDefault="006D2829" w:rsidP="006D2829">
            <w:pPr>
              <w:pStyle w:val="Jin0"/>
              <w:shd w:val="clear" w:color="auto" w:fill="auto"/>
              <w:ind w:firstLine="0"/>
              <w:rPr>
                <w:rFonts w:ascii="Arial" w:hAnsi="Arial" w:cs="Arial"/>
                <w:i w:val="0"/>
                <w:color w:val="000000"/>
                <w:lang w:bidi="cs-CZ"/>
              </w:rPr>
            </w:pPr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>je hodnota spotřební daně, vyjádřená v Kč na 1000 l ropného produktu při</w:t>
            </w:r>
            <w:r w:rsidRPr="006D2829">
              <w:rPr>
                <w:rFonts w:ascii="Arial" w:hAnsi="Arial" w:cs="Arial"/>
                <w:i w:val="0"/>
              </w:rPr>
              <w:t xml:space="preserve"> </w:t>
            </w:r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>15 °C dle souvisejícího platného zákona</w:t>
            </w:r>
          </w:p>
          <w:p w14:paraId="11E0CCD5" w14:textId="77777777" w:rsidR="006D2829" w:rsidRPr="006D2829" w:rsidRDefault="006D2829" w:rsidP="006D2829">
            <w:pPr>
              <w:pStyle w:val="Jin0"/>
              <w:shd w:val="clear" w:color="auto" w:fill="auto"/>
              <w:ind w:firstLine="0"/>
              <w:rPr>
                <w:rFonts w:ascii="Arial" w:hAnsi="Arial" w:cs="Arial"/>
                <w:i w:val="0"/>
              </w:rPr>
            </w:pPr>
          </w:p>
        </w:tc>
      </w:tr>
      <w:tr w:rsidR="006D2829" w:rsidRPr="00F601E6" w14:paraId="6BF0DDF3" w14:textId="77777777" w:rsidTr="006D2829">
        <w:trPr>
          <w:trHeight w:hRule="exact" w:val="926"/>
          <w:jc w:val="center"/>
        </w:trPr>
        <w:tc>
          <w:tcPr>
            <w:tcW w:w="1550" w:type="dxa"/>
            <w:shd w:val="clear" w:color="auto" w:fill="FFFFFF"/>
          </w:tcPr>
          <w:p w14:paraId="5081334F" w14:textId="77777777" w:rsidR="006D2829" w:rsidRPr="006D2829" w:rsidRDefault="006D2829" w:rsidP="006D2829">
            <w:pPr>
              <w:pStyle w:val="Jin0"/>
              <w:shd w:val="clear" w:color="auto" w:fill="auto"/>
              <w:spacing w:line="240" w:lineRule="auto"/>
              <w:ind w:left="0" w:firstLine="0"/>
              <w:rPr>
                <w:rFonts w:ascii="Arial" w:hAnsi="Arial" w:cs="Arial"/>
                <w:i w:val="0"/>
              </w:rPr>
            </w:pPr>
            <w:r w:rsidRPr="006D2829">
              <w:rPr>
                <w:rFonts w:ascii="Arial" w:hAnsi="Arial" w:cs="Arial"/>
                <w:b/>
                <w:bCs/>
                <w:i w:val="0"/>
                <w:color w:val="000000"/>
                <w:lang w:bidi="cs-CZ"/>
              </w:rPr>
              <w:lastRenderedPageBreak/>
              <w:t>CP</w:t>
            </w:r>
          </w:p>
        </w:tc>
        <w:tc>
          <w:tcPr>
            <w:tcW w:w="7603" w:type="dxa"/>
            <w:shd w:val="clear" w:color="auto" w:fill="FFFFFF"/>
            <w:vAlign w:val="bottom"/>
          </w:tcPr>
          <w:p w14:paraId="079A482D" w14:textId="77777777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  <w:color w:val="000000"/>
                <w:lang w:bidi="cs-CZ"/>
              </w:rPr>
            </w:pPr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>je cena sjednaná pro fakturaci jednotlivých dodávek v průběhu sjednaného časového období</w:t>
            </w:r>
          </w:p>
          <w:p w14:paraId="44CF9E18" w14:textId="77777777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</w:rPr>
            </w:pPr>
          </w:p>
        </w:tc>
      </w:tr>
      <w:tr w:rsidR="006D2829" w:rsidRPr="00F601E6" w14:paraId="22400ACC" w14:textId="77777777" w:rsidTr="006D2829">
        <w:trPr>
          <w:trHeight w:hRule="exact" w:val="974"/>
          <w:jc w:val="center"/>
        </w:trPr>
        <w:tc>
          <w:tcPr>
            <w:tcW w:w="1550" w:type="dxa"/>
            <w:shd w:val="clear" w:color="auto" w:fill="FFFFFF"/>
          </w:tcPr>
          <w:p w14:paraId="127FAE50" w14:textId="77777777" w:rsidR="006D2829" w:rsidRPr="006D2829" w:rsidRDefault="006D2829" w:rsidP="006D2829">
            <w:pPr>
              <w:pStyle w:val="Jin0"/>
              <w:shd w:val="clear" w:color="auto" w:fill="auto"/>
              <w:spacing w:line="240" w:lineRule="auto"/>
              <w:ind w:left="0" w:firstLine="0"/>
              <w:rPr>
                <w:rFonts w:ascii="Arial" w:hAnsi="Arial" w:cs="Arial"/>
                <w:i w:val="0"/>
              </w:rPr>
            </w:pPr>
            <w:r w:rsidRPr="006D2829">
              <w:rPr>
                <w:rFonts w:ascii="Arial" w:hAnsi="Arial" w:cs="Arial"/>
                <w:b/>
                <w:bCs/>
                <w:i w:val="0"/>
                <w:color w:val="000000"/>
                <w:lang w:bidi="cs-CZ"/>
              </w:rPr>
              <w:t>PTNM</w:t>
            </w:r>
          </w:p>
        </w:tc>
        <w:tc>
          <w:tcPr>
            <w:tcW w:w="7603" w:type="dxa"/>
            <w:shd w:val="clear" w:color="auto" w:fill="FFFFFF"/>
            <w:vAlign w:val="bottom"/>
          </w:tcPr>
          <w:p w14:paraId="474EF06E" w14:textId="77777777" w:rsidR="006D2829" w:rsidRPr="006D2829" w:rsidRDefault="006D2829" w:rsidP="006D2829">
            <w:pPr>
              <w:pStyle w:val="Jin0"/>
              <w:shd w:val="clear" w:color="auto" w:fill="auto"/>
              <w:jc w:val="both"/>
              <w:rPr>
                <w:rFonts w:ascii="Arial" w:hAnsi="Arial" w:cs="Arial"/>
                <w:i w:val="0"/>
                <w:color w:val="000000"/>
                <w:lang w:bidi="cs-CZ"/>
              </w:rPr>
            </w:pPr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 xml:space="preserve">je aritmetický průměr všech uveřejněných příslušných denních kotací </w:t>
            </w:r>
            <w:proofErr w:type="spellStart"/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>Platt's</w:t>
            </w:r>
            <w:proofErr w:type="spellEnd"/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 xml:space="preserve"> </w:t>
            </w:r>
            <w:proofErr w:type="spellStart"/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>Northwest</w:t>
            </w:r>
            <w:proofErr w:type="spellEnd"/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 xml:space="preserve"> </w:t>
            </w:r>
            <w:proofErr w:type="spellStart"/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>Europe</w:t>
            </w:r>
            <w:proofErr w:type="spellEnd"/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 xml:space="preserve"> </w:t>
            </w:r>
            <w:proofErr w:type="spellStart"/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>Cargoes</w:t>
            </w:r>
            <w:proofErr w:type="spellEnd"/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 xml:space="preserve"> CIF NWE - ULSD 10 </w:t>
            </w:r>
            <w:proofErr w:type="spellStart"/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>ppm</w:t>
            </w:r>
            <w:proofErr w:type="spellEnd"/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 xml:space="preserve"> High pro výpočet ceny nafty motorové (kód AAVBG00)</w:t>
            </w:r>
          </w:p>
          <w:p w14:paraId="3A6A7CBC" w14:textId="77777777" w:rsidR="006D2829" w:rsidRPr="006D2829" w:rsidRDefault="006D2829" w:rsidP="006D2829">
            <w:pPr>
              <w:pStyle w:val="Jin0"/>
              <w:shd w:val="clear" w:color="auto" w:fill="auto"/>
              <w:jc w:val="both"/>
              <w:rPr>
                <w:rFonts w:ascii="Arial" w:hAnsi="Arial" w:cs="Arial"/>
                <w:i w:val="0"/>
              </w:rPr>
            </w:pPr>
          </w:p>
        </w:tc>
      </w:tr>
      <w:tr w:rsidR="006D2829" w:rsidRPr="00F601E6" w14:paraId="450EAE87" w14:textId="77777777" w:rsidTr="006D2829">
        <w:trPr>
          <w:trHeight w:hRule="exact" w:val="634"/>
          <w:jc w:val="center"/>
        </w:trPr>
        <w:tc>
          <w:tcPr>
            <w:tcW w:w="1550" w:type="dxa"/>
            <w:shd w:val="clear" w:color="auto" w:fill="FFFFFF"/>
          </w:tcPr>
          <w:p w14:paraId="0DEAE710" w14:textId="77777777" w:rsidR="006D2829" w:rsidRPr="006D2829" w:rsidRDefault="006D2829" w:rsidP="006D2829">
            <w:pPr>
              <w:pStyle w:val="Jin0"/>
              <w:shd w:val="clear" w:color="auto" w:fill="auto"/>
              <w:spacing w:line="240" w:lineRule="auto"/>
              <w:ind w:left="0" w:firstLine="0"/>
              <w:rPr>
                <w:rFonts w:ascii="Arial" w:hAnsi="Arial" w:cs="Arial"/>
                <w:i w:val="0"/>
              </w:rPr>
            </w:pPr>
            <w:r w:rsidRPr="006D2829">
              <w:rPr>
                <w:rFonts w:ascii="Arial" w:hAnsi="Arial" w:cs="Arial"/>
                <w:b/>
                <w:bCs/>
                <w:i w:val="0"/>
                <w:color w:val="000000"/>
                <w:lang w:bidi="cs-CZ"/>
              </w:rPr>
              <w:t>KT</w:t>
            </w:r>
          </w:p>
        </w:tc>
        <w:tc>
          <w:tcPr>
            <w:tcW w:w="7603" w:type="dxa"/>
            <w:shd w:val="clear" w:color="auto" w:fill="FFFFFF"/>
            <w:vAlign w:val="bottom"/>
          </w:tcPr>
          <w:p w14:paraId="07AF1813" w14:textId="77777777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  <w:color w:val="000000"/>
                <w:lang w:bidi="cs-CZ"/>
              </w:rPr>
            </w:pPr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>je aritmetický průměr všech uveřejněných denních kotací kursu CZK/USD vydaných Českou národní bankou pro sjednané období</w:t>
            </w:r>
          </w:p>
          <w:p w14:paraId="633B3A69" w14:textId="77777777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  <w:color w:val="000000"/>
                <w:lang w:bidi="cs-CZ"/>
              </w:rPr>
            </w:pPr>
          </w:p>
          <w:p w14:paraId="723CC01C" w14:textId="77777777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  <w:color w:val="000000"/>
                <w:lang w:bidi="cs-CZ"/>
              </w:rPr>
            </w:pPr>
          </w:p>
          <w:p w14:paraId="1FA2D694" w14:textId="77777777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</w:rPr>
            </w:pPr>
          </w:p>
        </w:tc>
      </w:tr>
      <w:tr w:rsidR="006D2829" w:rsidRPr="00F601E6" w14:paraId="0241E198" w14:textId="77777777" w:rsidTr="006D2829">
        <w:trPr>
          <w:trHeight w:hRule="exact" w:val="638"/>
          <w:jc w:val="center"/>
        </w:trPr>
        <w:tc>
          <w:tcPr>
            <w:tcW w:w="1550" w:type="dxa"/>
            <w:shd w:val="clear" w:color="auto" w:fill="FFFFFF"/>
          </w:tcPr>
          <w:p w14:paraId="5F4A44D0" w14:textId="77777777" w:rsidR="006D2829" w:rsidRPr="006D2829" w:rsidRDefault="006D2829" w:rsidP="006D2829">
            <w:pPr>
              <w:pStyle w:val="Jin0"/>
              <w:shd w:val="clear" w:color="auto" w:fill="auto"/>
              <w:spacing w:line="240" w:lineRule="auto"/>
              <w:ind w:left="0" w:firstLine="0"/>
              <w:rPr>
                <w:rFonts w:ascii="Arial" w:hAnsi="Arial" w:cs="Arial"/>
                <w:i w:val="0"/>
              </w:rPr>
            </w:pPr>
            <w:r w:rsidRPr="006D2829">
              <w:rPr>
                <w:rFonts w:ascii="Arial" w:hAnsi="Arial" w:cs="Arial"/>
                <w:b/>
                <w:bCs/>
                <w:i w:val="0"/>
                <w:color w:val="000000"/>
                <w:lang w:bidi="cs-CZ"/>
              </w:rPr>
              <w:t>Kurz CZK/USD</w:t>
            </w:r>
          </w:p>
        </w:tc>
        <w:tc>
          <w:tcPr>
            <w:tcW w:w="7603" w:type="dxa"/>
            <w:shd w:val="clear" w:color="auto" w:fill="FFFFFF"/>
            <w:vAlign w:val="bottom"/>
          </w:tcPr>
          <w:p w14:paraId="3F3EBC40" w14:textId="77777777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  <w:color w:val="000000"/>
                <w:lang w:bidi="cs-CZ"/>
              </w:rPr>
            </w:pPr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>je hodnota české koruny vůči americkému dolaru, vyhlašovaná obvykle v pracovních dnech ČNB</w:t>
            </w:r>
          </w:p>
          <w:p w14:paraId="64C8B12C" w14:textId="77777777" w:rsidR="006D2829" w:rsidRPr="006D2829" w:rsidRDefault="006D2829" w:rsidP="006D2829">
            <w:pPr>
              <w:pStyle w:val="Jin0"/>
              <w:shd w:val="clear" w:color="auto" w:fill="auto"/>
              <w:rPr>
                <w:rFonts w:ascii="Arial" w:hAnsi="Arial" w:cs="Arial"/>
                <w:i w:val="0"/>
              </w:rPr>
            </w:pPr>
          </w:p>
        </w:tc>
      </w:tr>
      <w:tr w:rsidR="006D2829" w:rsidRPr="00F601E6" w14:paraId="7A90D35D" w14:textId="77777777" w:rsidTr="006D2829">
        <w:trPr>
          <w:trHeight w:hRule="exact" w:val="302"/>
          <w:jc w:val="center"/>
        </w:trPr>
        <w:tc>
          <w:tcPr>
            <w:tcW w:w="1550" w:type="dxa"/>
            <w:shd w:val="clear" w:color="auto" w:fill="FFFFFF"/>
            <w:vAlign w:val="bottom"/>
          </w:tcPr>
          <w:p w14:paraId="34783A51" w14:textId="4BFBE276" w:rsidR="006D2829" w:rsidRPr="006D2829" w:rsidRDefault="00492DB7" w:rsidP="006D2829">
            <w:pPr>
              <w:pStyle w:val="Jin0"/>
              <w:shd w:val="clear" w:color="auto" w:fill="auto"/>
              <w:spacing w:line="240" w:lineRule="auto"/>
              <w:ind w:left="0" w:firstLine="0"/>
              <w:rPr>
                <w:rFonts w:ascii="Arial" w:hAnsi="Arial" w:cs="Arial"/>
                <w:i w:val="0"/>
              </w:rPr>
            </w:pPr>
            <w:proofErr w:type="spellStart"/>
            <w:r w:rsidRPr="00903F62">
              <w:rPr>
                <w:rFonts w:ascii="Arial" w:hAnsi="Arial" w:cs="Arial"/>
                <w:b/>
                <w:bCs/>
                <w:i w:val="0"/>
                <w:color w:val="000000"/>
                <w:lang w:bidi="cs-CZ"/>
              </w:rPr>
              <w:t>DRnm</w:t>
            </w:r>
            <w:proofErr w:type="spellEnd"/>
          </w:p>
        </w:tc>
        <w:tc>
          <w:tcPr>
            <w:tcW w:w="7603" w:type="dxa"/>
            <w:shd w:val="clear" w:color="auto" w:fill="FFFFFF"/>
            <w:vAlign w:val="bottom"/>
          </w:tcPr>
          <w:p w14:paraId="036214D1" w14:textId="77777777" w:rsidR="006D2829" w:rsidRPr="006D2829" w:rsidRDefault="006D2829" w:rsidP="006D2829">
            <w:pPr>
              <w:pStyle w:val="Jin0"/>
              <w:shd w:val="clear" w:color="auto" w:fill="auto"/>
              <w:spacing w:line="240" w:lineRule="auto"/>
              <w:ind w:left="0" w:firstLine="540"/>
              <w:rPr>
                <w:rFonts w:ascii="Arial" w:hAnsi="Arial" w:cs="Arial"/>
                <w:i w:val="0"/>
                <w:color w:val="000000"/>
                <w:vertAlign w:val="superscript"/>
                <w:lang w:bidi="cs-CZ"/>
              </w:rPr>
            </w:pPr>
            <w:r w:rsidRPr="006D2829">
              <w:rPr>
                <w:rFonts w:ascii="Arial" w:hAnsi="Arial" w:cs="Arial"/>
                <w:i w:val="0"/>
                <w:color w:val="000000"/>
                <w:lang w:bidi="cs-CZ"/>
              </w:rPr>
              <w:t>je referenční hustota pro výpočet MN = 0,845 t/m</w:t>
            </w:r>
            <w:r w:rsidRPr="006D2829">
              <w:rPr>
                <w:rFonts w:ascii="Arial" w:hAnsi="Arial" w:cs="Arial"/>
                <w:i w:val="0"/>
                <w:color w:val="000000"/>
                <w:vertAlign w:val="superscript"/>
                <w:lang w:bidi="cs-CZ"/>
              </w:rPr>
              <w:t>3</w:t>
            </w:r>
          </w:p>
          <w:p w14:paraId="64C542CE" w14:textId="77777777" w:rsidR="006D2829" w:rsidRPr="006D2829" w:rsidRDefault="006D2829" w:rsidP="006D2829">
            <w:pPr>
              <w:pStyle w:val="Jin0"/>
              <w:shd w:val="clear" w:color="auto" w:fill="auto"/>
              <w:spacing w:line="240" w:lineRule="auto"/>
              <w:ind w:left="0" w:firstLine="540"/>
              <w:rPr>
                <w:rFonts w:ascii="Arial" w:hAnsi="Arial" w:cs="Arial"/>
                <w:i w:val="0"/>
                <w:color w:val="000000"/>
                <w:vertAlign w:val="superscript"/>
                <w:lang w:bidi="cs-CZ"/>
              </w:rPr>
            </w:pPr>
          </w:p>
          <w:p w14:paraId="7EA0D178" w14:textId="77777777" w:rsidR="006D2829" w:rsidRPr="006D2829" w:rsidRDefault="006D2829" w:rsidP="006D2829">
            <w:pPr>
              <w:pStyle w:val="Jin0"/>
              <w:shd w:val="clear" w:color="auto" w:fill="auto"/>
              <w:spacing w:line="240" w:lineRule="auto"/>
              <w:ind w:left="0" w:firstLine="540"/>
              <w:rPr>
                <w:rFonts w:ascii="Arial" w:hAnsi="Arial" w:cs="Arial"/>
                <w:i w:val="0"/>
              </w:rPr>
            </w:pPr>
          </w:p>
        </w:tc>
      </w:tr>
    </w:tbl>
    <w:p w14:paraId="5E809B1B" w14:textId="15CFF5BF" w:rsidR="006D2829" w:rsidRPr="00064FD2" w:rsidRDefault="006D2829" w:rsidP="007B6EA7">
      <w:pPr>
        <w:pStyle w:val="NormlnIMP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</w:tabs>
        <w:spacing w:after="120" w:line="276" w:lineRule="auto"/>
        <w:ind w:left="567" w:hanging="283"/>
        <w:rPr>
          <w:rFonts w:ascii="Arial" w:hAnsi="Arial" w:cs="Arial"/>
          <w:color w:val="000000"/>
        </w:rPr>
      </w:pPr>
    </w:p>
    <w:p w14:paraId="1CD6F23E" w14:textId="03AFB67F" w:rsidR="007B6EA7" w:rsidRPr="00064FD2" w:rsidRDefault="007B6EA7" w:rsidP="007B6EA7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371C5F">
        <w:rPr>
          <w:rFonts w:ascii="Arial" w:hAnsi="Arial" w:cs="Arial"/>
          <w:sz w:val="20"/>
          <w:szCs w:val="20"/>
        </w:rPr>
        <w:t>Kupní cena bude platná vždy po celý kalendářní týden (</w:t>
      </w:r>
      <w:proofErr w:type="gramStart"/>
      <w:r w:rsidRPr="00371C5F">
        <w:rPr>
          <w:rFonts w:ascii="Arial" w:hAnsi="Arial" w:cs="Arial"/>
          <w:sz w:val="20"/>
          <w:szCs w:val="20"/>
        </w:rPr>
        <w:t>Po</w:t>
      </w:r>
      <w:proofErr w:type="gramEnd"/>
      <w:r w:rsidRPr="00371C5F">
        <w:rPr>
          <w:rFonts w:ascii="Arial" w:hAnsi="Arial" w:cs="Arial"/>
          <w:sz w:val="20"/>
          <w:szCs w:val="20"/>
        </w:rPr>
        <w:t>–</w:t>
      </w:r>
      <w:proofErr w:type="gramStart"/>
      <w:r w:rsidRPr="00371C5F">
        <w:rPr>
          <w:rFonts w:ascii="Arial" w:hAnsi="Arial" w:cs="Arial"/>
          <w:sz w:val="20"/>
          <w:szCs w:val="20"/>
        </w:rPr>
        <w:t>Ne</w:t>
      </w:r>
      <w:proofErr w:type="gramEnd"/>
      <w:r w:rsidRPr="00371C5F">
        <w:rPr>
          <w:rFonts w:ascii="Arial" w:hAnsi="Arial" w:cs="Arial"/>
          <w:sz w:val="20"/>
          <w:szCs w:val="20"/>
        </w:rPr>
        <w:t>) a bude stanovena vždy k prvnímu dni pracovního dne</w:t>
      </w:r>
      <w:r w:rsidRPr="00064FD2">
        <w:rPr>
          <w:rFonts w:ascii="Arial" w:hAnsi="Arial" w:cs="Arial"/>
          <w:sz w:val="20"/>
          <w:szCs w:val="20"/>
        </w:rPr>
        <w:t xml:space="preserve"> v kalendářním týdnu.</w:t>
      </w:r>
    </w:p>
    <w:p w14:paraId="7D17EE5D" w14:textId="0575A77E" w:rsidR="007B6EA7" w:rsidRPr="00064FD2" w:rsidRDefault="007B6EA7" w:rsidP="007B6EA7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 xml:space="preserve">V jednotkové kupní ceně dle čl. </w:t>
      </w:r>
      <w:proofErr w:type="gramStart"/>
      <w:r w:rsidRPr="00064FD2">
        <w:rPr>
          <w:rFonts w:ascii="Arial" w:hAnsi="Arial" w:cs="Arial"/>
          <w:sz w:val="20"/>
          <w:szCs w:val="20"/>
        </w:rPr>
        <w:t>5.1. této</w:t>
      </w:r>
      <w:proofErr w:type="gramEnd"/>
      <w:r w:rsidRPr="00064FD2">
        <w:rPr>
          <w:rFonts w:ascii="Arial" w:hAnsi="Arial" w:cs="Arial"/>
          <w:sz w:val="20"/>
          <w:szCs w:val="20"/>
        </w:rPr>
        <w:t xml:space="preserve"> </w:t>
      </w:r>
      <w:r w:rsidR="00DE6CA8">
        <w:rPr>
          <w:rFonts w:ascii="Arial" w:hAnsi="Arial" w:cs="Arial"/>
          <w:sz w:val="20"/>
          <w:szCs w:val="20"/>
        </w:rPr>
        <w:t xml:space="preserve">kupní smlouvy </w:t>
      </w:r>
      <w:r w:rsidR="00F34813">
        <w:rPr>
          <w:rFonts w:ascii="Arial" w:hAnsi="Arial" w:cs="Arial"/>
          <w:sz w:val="20"/>
          <w:szCs w:val="20"/>
        </w:rPr>
        <w:t>jsou</w:t>
      </w:r>
      <w:r w:rsidRPr="00064FD2">
        <w:rPr>
          <w:rFonts w:ascii="Arial" w:hAnsi="Arial" w:cs="Arial"/>
          <w:sz w:val="20"/>
          <w:szCs w:val="20"/>
        </w:rPr>
        <w:t xml:space="preserve"> obsaženy veškeré náklady prodávajícího související s dodáním předmětu koupě na sjednané místo plnění dle čl. 4.1. této </w:t>
      </w:r>
      <w:r w:rsidR="00F34813">
        <w:rPr>
          <w:rFonts w:ascii="Arial" w:hAnsi="Arial" w:cs="Arial"/>
          <w:sz w:val="20"/>
          <w:szCs w:val="20"/>
        </w:rPr>
        <w:t>kupní smlouvy</w:t>
      </w:r>
      <w:r w:rsidRPr="00064FD2">
        <w:rPr>
          <w:rFonts w:ascii="Arial" w:hAnsi="Arial" w:cs="Arial"/>
          <w:sz w:val="20"/>
          <w:szCs w:val="20"/>
        </w:rPr>
        <w:t xml:space="preserve"> (doprava, cena za přimíchání biopaliv či jiných aditiv, náložné, výložné, vypracování příslušných atestů, dokumentace apod.).</w:t>
      </w:r>
    </w:p>
    <w:p w14:paraId="1A206EAF" w14:textId="3BC7FFC7" w:rsidR="007B6EA7" w:rsidRPr="00B1274B" w:rsidRDefault="007B6EA7" w:rsidP="007B6EA7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>Všechny ceny jsou uvedeny v Kč a bez DPH</w:t>
      </w:r>
      <w:r w:rsidR="008C228F">
        <w:rPr>
          <w:rFonts w:ascii="Arial" w:hAnsi="Arial" w:cs="Arial"/>
          <w:sz w:val="20"/>
          <w:szCs w:val="20"/>
        </w:rPr>
        <w:t xml:space="preserve"> (s výjimkou</w:t>
      </w:r>
      <w:r w:rsidR="00862EC1">
        <w:rPr>
          <w:rFonts w:ascii="Arial" w:hAnsi="Arial" w:cs="Arial"/>
          <w:sz w:val="20"/>
          <w:szCs w:val="20"/>
        </w:rPr>
        <w:t xml:space="preserve"> </w:t>
      </w:r>
      <w:r w:rsidR="00F97DF0" w:rsidRPr="00B1274B">
        <w:rPr>
          <w:rFonts w:ascii="Arial" w:hAnsi="Arial" w:cs="Arial"/>
          <w:sz w:val="20"/>
          <w:szCs w:val="20"/>
        </w:rPr>
        <w:t>hodnot</w:t>
      </w:r>
      <w:r w:rsidR="004D163B" w:rsidRPr="00B1274B">
        <w:rPr>
          <w:rFonts w:ascii="Arial" w:hAnsi="Arial" w:cs="Arial"/>
          <w:sz w:val="20"/>
          <w:szCs w:val="20"/>
        </w:rPr>
        <w:t xml:space="preserve">y </w:t>
      </w:r>
      <w:r w:rsidR="00B1274B">
        <w:rPr>
          <w:rFonts w:ascii="Arial" w:hAnsi="Arial" w:cs="Arial"/>
          <w:sz w:val="20"/>
          <w:szCs w:val="20"/>
        </w:rPr>
        <w:t>I</w:t>
      </w:r>
      <w:r w:rsidR="004D163B" w:rsidRPr="00B1274B">
        <w:rPr>
          <w:rFonts w:ascii="Arial" w:hAnsi="Arial" w:cs="Arial"/>
          <w:sz w:val="20"/>
          <w:szCs w:val="20"/>
        </w:rPr>
        <w:t>P</w:t>
      </w:r>
      <w:r w:rsidR="008C228F" w:rsidRPr="00B1274B">
        <w:rPr>
          <w:rFonts w:ascii="Arial" w:hAnsi="Arial" w:cs="Arial"/>
          <w:sz w:val="20"/>
          <w:szCs w:val="20"/>
        </w:rPr>
        <w:t>).</w:t>
      </w:r>
    </w:p>
    <w:p w14:paraId="6942DDA7" w14:textId="77777777" w:rsidR="007B6EA7" w:rsidRPr="00064FD2" w:rsidRDefault="007B6EA7" w:rsidP="007B6EA7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>DPH bude účtována v souladu s právními přepisy platnými ke dni uskutečnění zdanitelného plnění.</w:t>
      </w:r>
    </w:p>
    <w:p w14:paraId="453E44B5" w14:textId="7D18D2F8" w:rsidR="007B6EA7" w:rsidRPr="00064FD2" w:rsidRDefault="00492DB7" w:rsidP="007B6EA7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064FD2">
        <w:rPr>
          <w:rFonts w:ascii="Arial" w:hAnsi="Arial" w:cs="Arial"/>
          <w:sz w:val="20"/>
          <w:szCs w:val="20"/>
        </w:rPr>
        <w:t xml:space="preserve">Prodávající se zavazuje jedenkrát týdně aktualizovat jednotkovou cenu předmětu koupě stanovenou dle čl. </w:t>
      </w:r>
      <w:proofErr w:type="gramStart"/>
      <w:r w:rsidRPr="00064FD2">
        <w:rPr>
          <w:rFonts w:ascii="Arial" w:hAnsi="Arial" w:cs="Arial"/>
          <w:sz w:val="20"/>
          <w:szCs w:val="20"/>
        </w:rPr>
        <w:t>5.1. této</w:t>
      </w:r>
      <w:proofErr w:type="gramEnd"/>
      <w:r w:rsidRPr="00064F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kupní smlouvy</w:t>
      </w:r>
      <w:r w:rsidRPr="00064FD2">
        <w:rPr>
          <w:rFonts w:ascii="Arial" w:hAnsi="Arial" w:cs="Arial"/>
          <w:sz w:val="20"/>
          <w:szCs w:val="20"/>
        </w:rPr>
        <w:t xml:space="preserve"> v </w:t>
      </w:r>
      <w:r w:rsidRPr="00645BEF">
        <w:rPr>
          <w:rFonts w:ascii="Arial" w:hAnsi="Arial" w:cs="Arial"/>
          <w:sz w:val="20"/>
          <w:szCs w:val="20"/>
        </w:rPr>
        <w:t>návaznosti na změnu položek PTNM</w:t>
      </w:r>
      <w:r>
        <w:rPr>
          <w:rFonts w:ascii="Arial" w:hAnsi="Arial" w:cs="Arial"/>
          <w:sz w:val="20"/>
          <w:szCs w:val="20"/>
        </w:rPr>
        <w:t xml:space="preserve"> a KT podle </w:t>
      </w:r>
      <w:proofErr w:type="spellStart"/>
      <w:r w:rsidRPr="00645BEF">
        <w:rPr>
          <w:rFonts w:ascii="Arial" w:hAnsi="Arial" w:cs="Arial"/>
          <w:sz w:val="20"/>
          <w:szCs w:val="20"/>
          <w:lang w:bidi="cs-CZ"/>
        </w:rPr>
        <w:t>Platt's</w:t>
      </w:r>
      <w:proofErr w:type="spellEnd"/>
      <w:r w:rsidRPr="00645BEF">
        <w:rPr>
          <w:rFonts w:ascii="Arial" w:hAnsi="Arial" w:cs="Arial"/>
          <w:sz w:val="20"/>
          <w:szCs w:val="20"/>
          <w:lang w:bidi="cs-CZ"/>
        </w:rPr>
        <w:t xml:space="preserve"> </w:t>
      </w:r>
      <w:proofErr w:type="spellStart"/>
      <w:r w:rsidRPr="00645BEF">
        <w:rPr>
          <w:rFonts w:ascii="Arial" w:hAnsi="Arial" w:cs="Arial"/>
          <w:sz w:val="20"/>
          <w:szCs w:val="20"/>
          <w:lang w:bidi="cs-CZ"/>
        </w:rPr>
        <w:t>Northwest</w:t>
      </w:r>
      <w:proofErr w:type="spellEnd"/>
      <w:r w:rsidRPr="00645BEF">
        <w:rPr>
          <w:rFonts w:ascii="Arial" w:hAnsi="Arial" w:cs="Arial"/>
          <w:sz w:val="20"/>
          <w:szCs w:val="20"/>
          <w:lang w:bidi="cs-CZ"/>
        </w:rPr>
        <w:t xml:space="preserve"> </w:t>
      </w:r>
      <w:proofErr w:type="spellStart"/>
      <w:r w:rsidRPr="00645BEF">
        <w:rPr>
          <w:rFonts w:ascii="Arial" w:hAnsi="Arial" w:cs="Arial"/>
          <w:sz w:val="20"/>
          <w:szCs w:val="20"/>
          <w:lang w:bidi="cs-CZ"/>
        </w:rPr>
        <w:t>Europe</w:t>
      </w:r>
      <w:proofErr w:type="spellEnd"/>
      <w:r w:rsidRPr="00645BEF">
        <w:rPr>
          <w:rFonts w:ascii="Arial" w:hAnsi="Arial" w:cs="Arial"/>
          <w:sz w:val="20"/>
          <w:szCs w:val="20"/>
          <w:lang w:bidi="cs-CZ"/>
        </w:rPr>
        <w:t xml:space="preserve"> </w:t>
      </w:r>
      <w:proofErr w:type="spellStart"/>
      <w:r w:rsidRPr="00645BEF">
        <w:rPr>
          <w:rFonts w:ascii="Arial" w:hAnsi="Arial" w:cs="Arial"/>
          <w:sz w:val="20"/>
          <w:szCs w:val="20"/>
          <w:lang w:bidi="cs-CZ"/>
        </w:rPr>
        <w:t>Cargoes</w:t>
      </w:r>
      <w:proofErr w:type="spellEnd"/>
      <w:r w:rsidRPr="00645BEF">
        <w:rPr>
          <w:rFonts w:ascii="Arial" w:hAnsi="Arial" w:cs="Arial"/>
          <w:sz w:val="20"/>
          <w:szCs w:val="20"/>
          <w:lang w:bidi="cs-CZ"/>
        </w:rPr>
        <w:t xml:space="preserve"> CIF NWE</w:t>
      </w:r>
      <w:r w:rsidRPr="00645BEF">
        <w:rPr>
          <w:rFonts w:ascii="Arial" w:hAnsi="Arial" w:cs="Arial"/>
          <w:sz w:val="20"/>
          <w:szCs w:val="20"/>
        </w:rPr>
        <w:t xml:space="preserve"> </w:t>
      </w:r>
      <w:r w:rsidRPr="00064FD2">
        <w:rPr>
          <w:rFonts w:ascii="Arial" w:hAnsi="Arial" w:cs="Arial"/>
          <w:sz w:val="20"/>
          <w:szCs w:val="20"/>
        </w:rPr>
        <w:t>a ČNB, případně i změnu S</w:t>
      </w:r>
      <w:r>
        <w:rPr>
          <w:rFonts w:ascii="Arial" w:hAnsi="Arial" w:cs="Arial"/>
          <w:sz w:val="20"/>
          <w:szCs w:val="20"/>
        </w:rPr>
        <w:t>P</w:t>
      </w:r>
      <w:r w:rsidRPr="00064FD2">
        <w:rPr>
          <w:rFonts w:ascii="Arial" w:hAnsi="Arial" w:cs="Arial"/>
          <w:sz w:val="20"/>
          <w:szCs w:val="20"/>
        </w:rPr>
        <w:t xml:space="preserve">D a informaci o výši aktuální ceny včetně způsobu výpočtu (tj. vzorec dle čl. 5.1. této </w:t>
      </w:r>
      <w:r>
        <w:rPr>
          <w:rFonts w:ascii="Arial" w:hAnsi="Arial" w:cs="Arial"/>
          <w:sz w:val="20"/>
          <w:szCs w:val="20"/>
        </w:rPr>
        <w:t>kupní smlouvy</w:t>
      </w:r>
      <w:r w:rsidRPr="00064FD2">
        <w:rPr>
          <w:rFonts w:ascii="Arial" w:hAnsi="Arial" w:cs="Arial"/>
          <w:sz w:val="20"/>
          <w:szCs w:val="20"/>
        </w:rPr>
        <w:t xml:space="preserve"> s doplněním aktuálních hodnot spolu s výpisem uveřejněných denních kotací </w:t>
      </w:r>
      <w:proofErr w:type="spellStart"/>
      <w:r w:rsidRPr="00645BEF">
        <w:rPr>
          <w:rFonts w:ascii="Arial" w:hAnsi="Arial" w:cs="Arial"/>
          <w:sz w:val="20"/>
          <w:szCs w:val="20"/>
          <w:lang w:bidi="cs-CZ"/>
        </w:rPr>
        <w:t>Platt's</w:t>
      </w:r>
      <w:proofErr w:type="spellEnd"/>
      <w:r w:rsidRPr="00645BEF">
        <w:rPr>
          <w:rFonts w:ascii="Arial" w:hAnsi="Arial" w:cs="Arial"/>
          <w:sz w:val="20"/>
          <w:szCs w:val="20"/>
          <w:lang w:bidi="cs-CZ"/>
        </w:rPr>
        <w:t xml:space="preserve"> </w:t>
      </w:r>
      <w:proofErr w:type="spellStart"/>
      <w:r w:rsidRPr="00645BEF">
        <w:rPr>
          <w:rFonts w:ascii="Arial" w:hAnsi="Arial" w:cs="Arial"/>
          <w:sz w:val="20"/>
          <w:szCs w:val="20"/>
          <w:lang w:bidi="cs-CZ"/>
        </w:rPr>
        <w:t>Northwest</w:t>
      </w:r>
      <w:proofErr w:type="spellEnd"/>
      <w:r w:rsidRPr="00645BEF">
        <w:rPr>
          <w:rFonts w:ascii="Arial" w:hAnsi="Arial" w:cs="Arial"/>
          <w:sz w:val="20"/>
          <w:szCs w:val="20"/>
          <w:lang w:bidi="cs-CZ"/>
        </w:rPr>
        <w:t xml:space="preserve"> </w:t>
      </w:r>
      <w:proofErr w:type="spellStart"/>
      <w:r w:rsidRPr="00645BEF">
        <w:rPr>
          <w:rFonts w:ascii="Arial" w:hAnsi="Arial" w:cs="Arial"/>
          <w:sz w:val="20"/>
          <w:szCs w:val="20"/>
          <w:lang w:bidi="cs-CZ"/>
        </w:rPr>
        <w:t>Europe</w:t>
      </w:r>
      <w:proofErr w:type="spellEnd"/>
      <w:r w:rsidRPr="00645BEF">
        <w:rPr>
          <w:rFonts w:ascii="Arial" w:hAnsi="Arial" w:cs="Arial"/>
          <w:sz w:val="20"/>
          <w:szCs w:val="20"/>
          <w:lang w:bidi="cs-CZ"/>
        </w:rPr>
        <w:t xml:space="preserve"> </w:t>
      </w:r>
      <w:proofErr w:type="spellStart"/>
      <w:r w:rsidRPr="00645BEF">
        <w:rPr>
          <w:rFonts w:ascii="Arial" w:hAnsi="Arial" w:cs="Arial"/>
          <w:sz w:val="20"/>
          <w:szCs w:val="20"/>
          <w:lang w:bidi="cs-CZ"/>
        </w:rPr>
        <w:t>Cargoes</w:t>
      </w:r>
      <w:proofErr w:type="spellEnd"/>
      <w:r w:rsidRPr="00645BEF">
        <w:rPr>
          <w:rFonts w:ascii="Arial" w:hAnsi="Arial" w:cs="Arial"/>
          <w:sz w:val="20"/>
          <w:szCs w:val="20"/>
          <w:lang w:bidi="cs-CZ"/>
        </w:rPr>
        <w:t xml:space="preserve"> CIF NWE</w:t>
      </w:r>
      <w:r w:rsidRPr="00064FD2">
        <w:rPr>
          <w:rFonts w:ascii="Arial" w:hAnsi="Arial" w:cs="Arial"/>
          <w:sz w:val="20"/>
          <w:szCs w:val="20"/>
        </w:rPr>
        <w:t>, tj. údajů z nichž je vypočtena aktuální PT</w:t>
      </w:r>
      <w:r>
        <w:rPr>
          <w:rFonts w:ascii="Arial" w:hAnsi="Arial" w:cs="Arial"/>
          <w:sz w:val="20"/>
          <w:szCs w:val="20"/>
        </w:rPr>
        <w:t>NM</w:t>
      </w:r>
      <w:r w:rsidRPr="00064FD2">
        <w:rPr>
          <w:rFonts w:ascii="Arial" w:hAnsi="Arial" w:cs="Arial"/>
          <w:sz w:val="20"/>
          <w:szCs w:val="20"/>
        </w:rPr>
        <w:t>) pro daný týden sdělit vždy první pracovní den kalendářního týdne do 12:00 hod. na e-mail:</w:t>
      </w:r>
      <w:r w:rsidRPr="00064FD2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Pr="00064FD2">
          <w:rPr>
            <w:rStyle w:val="Hypertextovodkaz"/>
            <w:rFonts w:ascii="Arial" w:hAnsi="Arial" w:cs="Arial"/>
            <w:sz w:val="20"/>
            <w:szCs w:val="20"/>
          </w:rPr>
          <w:t>monika.tomaskova@suspk.eu</w:t>
        </w:r>
      </w:hyperlink>
      <w:r>
        <w:rPr>
          <w:rFonts w:ascii="Arial" w:hAnsi="Arial" w:cs="Arial"/>
          <w:sz w:val="20"/>
          <w:szCs w:val="20"/>
        </w:rPr>
        <w:t xml:space="preserve"> a</w:t>
      </w:r>
      <w:r w:rsidR="00381D52">
        <w:rPr>
          <w:rStyle w:val="Hypertextovodkaz"/>
          <w:rFonts w:ascii="Arial" w:hAnsi="Arial" w:cs="Arial"/>
          <w:color w:val="000000" w:themeColor="text1"/>
          <w:sz w:val="20"/>
          <w:szCs w:val="20"/>
          <w:u w:val="none"/>
        </w:rPr>
        <w:t xml:space="preserve"> osobám uvedeným</w:t>
      </w:r>
      <w:r w:rsidRPr="007001E1">
        <w:rPr>
          <w:rStyle w:val="Hypertextovodkaz"/>
          <w:rFonts w:ascii="Arial" w:hAnsi="Arial" w:cs="Arial"/>
          <w:color w:val="000000" w:themeColor="text1"/>
          <w:sz w:val="20"/>
          <w:szCs w:val="20"/>
          <w:u w:val="none"/>
        </w:rPr>
        <w:t xml:space="preserve"> v čl. 4.3. této kupní smlouv</w:t>
      </w:r>
      <w:r w:rsidR="00ED30C8" w:rsidRPr="007001E1">
        <w:rPr>
          <w:rStyle w:val="Hypertextovodkaz"/>
          <w:rFonts w:ascii="Arial" w:hAnsi="Arial" w:cs="Arial"/>
          <w:color w:val="000000" w:themeColor="text1"/>
          <w:sz w:val="20"/>
          <w:szCs w:val="20"/>
          <w:u w:val="none"/>
        </w:rPr>
        <w:t>y</w:t>
      </w:r>
      <w:r w:rsidR="007B6EA7" w:rsidRPr="007001E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0DEA2F5" w14:textId="4459A7F6" w:rsidR="007B6EA7" w:rsidRPr="00064FD2" w:rsidRDefault="007B6EA7" w:rsidP="007B6EA7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 xml:space="preserve">V případě prodlení s plněním povinnosti dle čl. </w:t>
      </w:r>
      <w:proofErr w:type="gramStart"/>
      <w:r w:rsidRPr="00064FD2">
        <w:rPr>
          <w:rFonts w:ascii="Arial" w:hAnsi="Arial" w:cs="Arial"/>
          <w:sz w:val="20"/>
          <w:szCs w:val="20"/>
        </w:rPr>
        <w:t>5.6. této</w:t>
      </w:r>
      <w:proofErr w:type="gramEnd"/>
      <w:r w:rsidRPr="00064FD2">
        <w:rPr>
          <w:rFonts w:ascii="Arial" w:hAnsi="Arial" w:cs="Arial"/>
          <w:sz w:val="20"/>
          <w:szCs w:val="20"/>
        </w:rPr>
        <w:t xml:space="preserve"> </w:t>
      </w:r>
      <w:r w:rsidR="009E1421">
        <w:rPr>
          <w:rFonts w:ascii="Arial" w:hAnsi="Arial" w:cs="Arial"/>
          <w:sz w:val="20"/>
          <w:szCs w:val="20"/>
        </w:rPr>
        <w:t>kupní smlouvy</w:t>
      </w:r>
      <w:r w:rsidRPr="00064FD2">
        <w:rPr>
          <w:rFonts w:ascii="Arial" w:hAnsi="Arial" w:cs="Arial"/>
          <w:sz w:val="20"/>
          <w:szCs w:val="20"/>
        </w:rPr>
        <w:t xml:space="preserve"> vzniká kupujícímu nárok</w:t>
      </w:r>
      <w:r>
        <w:rPr>
          <w:rFonts w:ascii="Arial" w:hAnsi="Arial" w:cs="Arial"/>
          <w:sz w:val="20"/>
          <w:szCs w:val="20"/>
        </w:rPr>
        <w:t xml:space="preserve"> na smluvní pokutu ve výši 100,00</w:t>
      </w:r>
      <w:r w:rsidRPr="00064FD2">
        <w:rPr>
          <w:rFonts w:ascii="Arial" w:hAnsi="Arial" w:cs="Arial"/>
          <w:sz w:val="20"/>
          <w:szCs w:val="20"/>
        </w:rPr>
        <w:t xml:space="preserve"> Kč za každou i započatou hodinu prodlení.</w:t>
      </w:r>
    </w:p>
    <w:p w14:paraId="781E4440" w14:textId="3BA3217C" w:rsidR="007B6EA7" w:rsidRPr="00064FD2" w:rsidRDefault="007B6EA7" w:rsidP="007B6EA7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 xml:space="preserve">V případě, že prodávající podle čl. </w:t>
      </w:r>
      <w:proofErr w:type="gramStart"/>
      <w:r w:rsidRPr="00064FD2">
        <w:rPr>
          <w:rFonts w:ascii="Arial" w:hAnsi="Arial" w:cs="Arial"/>
          <w:sz w:val="20"/>
          <w:szCs w:val="20"/>
        </w:rPr>
        <w:t>5.6. této</w:t>
      </w:r>
      <w:proofErr w:type="gramEnd"/>
      <w:r w:rsidRPr="00064FD2">
        <w:rPr>
          <w:rFonts w:ascii="Arial" w:hAnsi="Arial" w:cs="Arial"/>
          <w:sz w:val="20"/>
          <w:szCs w:val="20"/>
        </w:rPr>
        <w:t xml:space="preserve"> </w:t>
      </w:r>
      <w:r w:rsidR="009E1421">
        <w:rPr>
          <w:rFonts w:ascii="Arial" w:hAnsi="Arial" w:cs="Arial"/>
          <w:sz w:val="20"/>
          <w:szCs w:val="20"/>
        </w:rPr>
        <w:t>kupní smlouvy</w:t>
      </w:r>
      <w:r w:rsidRPr="00064FD2">
        <w:rPr>
          <w:rFonts w:ascii="Arial" w:hAnsi="Arial" w:cs="Arial"/>
          <w:sz w:val="20"/>
          <w:szCs w:val="20"/>
        </w:rPr>
        <w:t xml:space="preserve"> sdělí kupujícímu cenu vyšší než stanovenou v souladu s čl. 5.1. vzniká kupujícímu nár</w:t>
      </w:r>
      <w:r>
        <w:rPr>
          <w:rFonts w:ascii="Arial" w:hAnsi="Arial" w:cs="Arial"/>
          <w:sz w:val="20"/>
          <w:szCs w:val="20"/>
        </w:rPr>
        <w:t>ok na smluvní pokutu ve výši 10 000,00</w:t>
      </w:r>
      <w:r w:rsidRPr="00064FD2">
        <w:rPr>
          <w:rFonts w:ascii="Arial" w:hAnsi="Arial" w:cs="Arial"/>
          <w:sz w:val="20"/>
          <w:szCs w:val="20"/>
        </w:rPr>
        <w:t xml:space="preserve"> Kč za každý takový případ.</w:t>
      </w:r>
    </w:p>
    <w:p w14:paraId="591D41B3" w14:textId="5A0B1F64" w:rsidR="007A37C4" w:rsidRPr="007A37C4" w:rsidRDefault="007B6EA7" w:rsidP="007B6EA7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>Pro stanovení výše kupní ceny v</w:t>
      </w:r>
      <w:r w:rsidR="00FC667A">
        <w:rPr>
          <w:rFonts w:ascii="Arial" w:hAnsi="Arial" w:cs="Arial"/>
          <w:sz w:val="20"/>
          <w:szCs w:val="20"/>
        </w:rPr>
        <w:t> jednotlivém pokynu</w:t>
      </w:r>
      <w:r w:rsidRPr="00064FD2">
        <w:rPr>
          <w:rFonts w:ascii="Arial" w:hAnsi="Arial" w:cs="Arial"/>
          <w:sz w:val="20"/>
          <w:szCs w:val="20"/>
        </w:rPr>
        <w:t xml:space="preserve"> je rozhodný okamžik odeslání </w:t>
      </w:r>
      <w:r w:rsidR="00FC667A">
        <w:rPr>
          <w:rFonts w:ascii="Arial" w:hAnsi="Arial" w:cs="Arial"/>
          <w:sz w:val="20"/>
          <w:szCs w:val="20"/>
        </w:rPr>
        <w:t>pokynu</w:t>
      </w:r>
      <w:r w:rsidRPr="00064FD2">
        <w:rPr>
          <w:rFonts w:ascii="Arial" w:hAnsi="Arial" w:cs="Arial"/>
          <w:sz w:val="20"/>
          <w:szCs w:val="20"/>
        </w:rPr>
        <w:t xml:space="preserve"> kupujícím prodávajícímu</w:t>
      </w:r>
      <w:r w:rsidR="007A37C4" w:rsidRPr="007A37C4">
        <w:rPr>
          <w:rFonts w:ascii="Arial" w:hAnsi="Arial" w:cs="Arial"/>
          <w:sz w:val="20"/>
          <w:szCs w:val="20"/>
        </w:rPr>
        <w:t>.</w:t>
      </w:r>
    </w:p>
    <w:p w14:paraId="526E5D0C" w14:textId="77777777" w:rsidR="00E72758" w:rsidRPr="008979E5" w:rsidRDefault="007A37C4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6EF47A36" w14:textId="4BF5126D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Kupní cena bude prodávajícím účtována řádným daňovým dokladem (dále jen „faktura“).</w:t>
      </w:r>
      <w:r w:rsidR="006B38C2">
        <w:rPr>
          <w:rFonts w:ascii="Arial" w:hAnsi="Arial" w:cs="Arial"/>
          <w:sz w:val="20"/>
          <w:szCs w:val="20"/>
        </w:rPr>
        <w:t xml:space="preserve"> Každá faktura musí obsahovat číslo kupní smlouvy kupujícího</w:t>
      </w:r>
      <w:r w:rsidR="00B039BC">
        <w:rPr>
          <w:rFonts w:ascii="Arial" w:hAnsi="Arial" w:cs="Arial"/>
          <w:sz w:val="20"/>
          <w:szCs w:val="20"/>
        </w:rPr>
        <w:t xml:space="preserve"> a musí k ní být přiloženy všechny dodací (</w:t>
      </w:r>
      <w:r w:rsidR="00ED30C8">
        <w:rPr>
          <w:rFonts w:ascii="Arial" w:hAnsi="Arial" w:cs="Arial"/>
          <w:sz w:val="20"/>
          <w:szCs w:val="20"/>
        </w:rPr>
        <w:t>stáčecí</w:t>
      </w:r>
      <w:r w:rsidR="00B039BC">
        <w:rPr>
          <w:rFonts w:ascii="Arial" w:hAnsi="Arial" w:cs="Arial"/>
          <w:sz w:val="20"/>
          <w:szCs w:val="20"/>
        </w:rPr>
        <w:t>) l</w:t>
      </w:r>
      <w:r w:rsidR="00C8533F">
        <w:rPr>
          <w:rFonts w:ascii="Arial" w:hAnsi="Arial" w:cs="Arial"/>
          <w:sz w:val="20"/>
          <w:szCs w:val="20"/>
        </w:rPr>
        <w:t>i</w:t>
      </w:r>
      <w:r w:rsidR="00B039BC">
        <w:rPr>
          <w:rFonts w:ascii="Arial" w:hAnsi="Arial" w:cs="Arial"/>
          <w:sz w:val="20"/>
          <w:szCs w:val="20"/>
        </w:rPr>
        <w:t>sty za fakturované období</w:t>
      </w:r>
      <w:r w:rsidR="006B38C2">
        <w:rPr>
          <w:rFonts w:ascii="Arial" w:hAnsi="Arial" w:cs="Arial"/>
          <w:sz w:val="20"/>
          <w:szCs w:val="20"/>
        </w:rPr>
        <w:t>. Kopie dodacích</w:t>
      </w:r>
      <w:r w:rsidR="002A10B6">
        <w:rPr>
          <w:rFonts w:ascii="Arial" w:hAnsi="Arial" w:cs="Arial"/>
          <w:sz w:val="20"/>
          <w:szCs w:val="20"/>
        </w:rPr>
        <w:t xml:space="preserve"> (</w:t>
      </w:r>
      <w:r w:rsidR="00ED30C8">
        <w:rPr>
          <w:rFonts w:ascii="Arial" w:hAnsi="Arial" w:cs="Arial"/>
          <w:sz w:val="20"/>
          <w:szCs w:val="20"/>
        </w:rPr>
        <w:t>stáčecích</w:t>
      </w:r>
      <w:r w:rsidR="002A10B6">
        <w:rPr>
          <w:rFonts w:ascii="Arial" w:hAnsi="Arial" w:cs="Arial"/>
          <w:sz w:val="20"/>
          <w:szCs w:val="20"/>
        </w:rPr>
        <w:t>)</w:t>
      </w:r>
      <w:r w:rsidR="006B38C2">
        <w:rPr>
          <w:rFonts w:ascii="Arial" w:hAnsi="Arial" w:cs="Arial"/>
          <w:sz w:val="20"/>
          <w:szCs w:val="20"/>
        </w:rPr>
        <w:t xml:space="preserve"> listů spolu s fakturou budou zaslány ve formátu PDF na adresu: </w:t>
      </w:r>
      <w:hyperlink r:id="rId15" w:history="1">
        <w:r w:rsidR="006B38C2" w:rsidRPr="00330887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  <w:r w:rsidR="006B38C2">
        <w:rPr>
          <w:rFonts w:ascii="Arial" w:hAnsi="Arial" w:cs="Arial"/>
          <w:sz w:val="20"/>
          <w:szCs w:val="20"/>
        </w:rPr>
        <w:t>, a to samostatně v jednom e-mailu.</w:t>
      </w:r>
      <w:r w:rsidR="00AF55DC">
        <w:rPr>
          <w:rFonts w:ascii="Arial" w:hAnsi="Arial" w:cs="Arial"/>
          <w:sz w:val="20"/>
          <w:szCs w:val="20"/>
        </w:rPr>
        <w:t xml:space="preserve"> Doručena nejdéle do pěti (5) pracovních dnů od počátku nového měsíce</w:t>
      </w:r>
      <w:r w:rsidR="00596160">
        <w:rPr>
          <w:rFonts w:ascii="Arial" w:hAnsi="Arial" w:cs="Arial"/>
          <w:sz w:val="20"/>
          <w:szCs w:val="20"/>
        </w:rPr>
        <w:t xml:space="preserve"> následujícího po měsíci, který bude fakturou vyúčtován</w:t>
      </w:r>
      <w:r w:rsidR="00AF55DC">
        <w:rPr>
          <w:rFonts w:ascii="Arial" w:hAnsi="Arial" w:cs="Arial"/>
          <w:sz w:val="20"/>
          <w:szCs w:val="20"/>
        </w:rPr>
        <w:t>.</w:t>
      </w:r>
    </w:p>
    <w:p w14:paraId="34015630" w14:textId="43E02C23" w:rsidR="003E7A9F" w:rsidRPr="007A37C4" w:rsidRDefault="003E7A9F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596160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bude vystavena měsí</w:t>
      </w:r>
      <w:r w:rsidR="00AF55DC">
        <w:rPr>
          <w:rFonts w:ascii="Arial" w:hAnsi="Arial" w:cs="Arial"/>
          <w:sz w:val="20"/>
          <w:szCs w:val="20"/>
        </w:rPr>
        <w:t>č</w:t>
      </w:r>
      <w:r w:rsidR="00452FDB">
        <w:rPr>
          <w:rFonts w:ascii="Arial" w:hAnsi="Arial" w:cs="Arial"/>
          <w:sz w:val="20"/>
          <w:szCs w:val="20"/>
        </w:rPr>
        <w:t>ně</w:t>
      </w:r>
      <w:r w:rsidR="002A10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za všechny odběry realizované v daném měsíci</w:t>
      </w:r>
      <w:r w:rsidR="00452FDB">
        <w:rPr>
          <w:rFonts w:ascii="Arial" w:hAnsi="Arial" w:cs="Arial"/>
          <w:sz w:val="20"/>
          <w:szCs w:val="20"/>
        </w:rPr>
        <w:t xml:space="preserve"> z této </w:t>
      </w:r>
      <w:r w:rsidR="009D5906">
        <w:rPr>
          <w:rFonts w:ascii="Arial" w:hAnsi="Arial" w:cs="Arial"/>
          <w:sz w:val="20"/>
          <w:szCs w:val="20"/>
        </w:rPr>
        <w:t>kupní smlouvy</w:t>
      </w:r>
      <w:r w:rsidR="00AF55DC">
        <w:rPr>
          <w:rFonts w:ascii="Arial" w:hAnsi="Arial" w:cs="Arial"/>
          <w:sz w:val="20"/>
          <w:szCs w:val="20"/>
        </w:rPr>
        <w:t xml:space="preserve"> dle </w:t>
      </w:r>
      <w:r w:rsidR="00596160">
        <w:rPr>
          <w:rFonts w:ascii="Arial" w:hAnsi="Arial" w:cs="Arial"/>
          <w:sz w:val="20"/>
          <w:szCs w:val="20"/>
        </w:rPr>
        <w:t xml:space="preserve">jednotlivých </w:t>
      </w:r>
      <w:r w:rsidR="00AF55DC">
        <w:rPr>
          <w:rFonts w:ascii="Arial" w:hAnsi="Arial" w:cs="Arial"/>
          <w:sz w:val="20"/>
          <w:szCs w:val="20"/>
        </w:rPr>
        <w:t>odběrn</w:t>
      </w:r>
      <w:r w:rsidR="00596160">
        <w:rPr>
          <w:rFonts w:ascii="Arial" w:hAnsi="Arial" w:cs="Arial"/>
          <w:sz w:val="20"/>
          <w:szCs w:val="20"/>
        </w:rPr>
        <w:t>ých</w:t>
      </w:r>
      <w:r w:rsidR="00AF55DC">
        <w:rPr>
          <w:rFonts w:ascii="Arial" w:hAnsi="Arial" w:cs="Arial"/>
          <w:sz w:val="20"/>
          <w:szCs w:val="20"/>
        </w:rPr>
        <w:t xml:space="preserve"> míst</w:t>
      </w:r>
      <w:r>
        <w:rPr>
          <w:rFonts w:ascii="Arial" w:hAnsi="Arial" w:cs="Arial"/>
          <w:sz w:val="20"/>
          <w:szCs w:val="20"/>
        </w:rPr>
        <w:t>.</w:t>
      </w:r>
      <w:r w:rsidR="00AF55DC">
        <w:rPr>
          <w:rFonts w:ascii="Arial" w:hAnsi="Arial" w:cs="Arial"/>
          <w:sz w:val="20"/>
          <w:szCs w:val="20"/>
        </w:rPr>
        <w:t xml:space="preserve"> </w:t>
      </w:r>
    </w:p>
    <w:p w14:paraId="325450E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</w:t>
      </w:r>
      <w:r w:rsidRPr="007A37C4">
        <w:rPr>
          <w:rFonts w:ascii="Arial" w:hAnsi="Arial" w:cs="Arial"/>
          <w:sz w:val="20"/>
          <w:szCs w:val="20"/>
        </w:rPr>
        <w:lastRenderedPageBreak/>
        <w:t xml:space="preserve">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67B12D45" w14:textId="4563F01E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 w:rsidR="002A10B6"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</w:t>
      </w:r>
      <w:r w:rsidR="00B039BC" w:rsidRPr="007A37C4">
        <w:rPr>
          <w:rFonts w:ascii="Arial" w:hAnsi="Arial" w:cs="Arial"/>
          <w:sz w:val="20"/>
          <w:szCs w:val="20"/>
        </w:rPr>
        <w:t>vyplněn</w:t>
      </w:r>
      <w:r w:rsidR="00B039BC">
        <w:rPr>
          <w:rFonts w:ascii="Arial" w:hAnsi="Arial" w:cs="Arial"/>
          <w:sz w:val="20"/>
          <w:szCs w:val="20"/>
        </w:rPr>
        <w:t>é</w:t>
      </w:r>
      <w:r w:rsidR="00B039BC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dodací</w:t>
      </w:r>
      <w:r w:rsidR="002A10B6">
        <w:rPr>
          <w:rFonts w:ascii="Arial" w:hAnsi="Arial" w:cs="Arial"/>
          <w:sz w:val="20"/>
          <w:szCs w:val="20"/>
        </w:rPr>
        <w:t xml:space="preserve"> (</w:t>
      </w:r>
      <w:r w:rsidR="00ED30C8">
        <w:rPr>
          <w:rFonts w:ascii="Arial" w:hAnsi="Arial" w:cs="Arial"/>
          <w:sz w:val="20"/>
          <w:szCs w:val="20"/>
        </w:rPr>
        <w:t>stáčecí</w:t>
      </w:r>
      <w:r w:rsidR="002A10B6">
        <w:rPr>
          <w:rFonts w:ascii="Arial" w:hAnsi="Arial" w:cs="Arial"/>
          <w:sz w:val="20"/>
          <w:szCs w:val="20"/>
        </w:rPr>
        <w:t>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 w:rsidR="00B039BC"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2A10B6" w:rsidRPr="007A37C4">
        <w:rPr>
          <w:rFonts w:ascii="Arial" w:hAnsi="Arial" w:cs="Arial"/>
          <w:sz w:val="20"/>
          <w:szCs w:val="20"/>
        </w:rPr>
        <w:t>potvrzen</w:t>
      </w:r>
      <w:r w:rsidR="002A10B6">
        <w:rPr>
          <w:rFonts w:ascii="Arial" w:hAnsi="Arial" w:cs="Arial"/>
          <w:sz w:val="20"/>
          <w:szCs w:val="20"/>
        </w:rPr>
        <w:t>é</w:t>
      </w:r>
      <w:r w:rsidR="002A10B6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osobou k tomu oprávněnou za kupujícího</w:t>
      </w:r>
      <w:r w:rsidR="00ED30C8">
        <w:rPr>
          <w:rFonts w:ascii="Arial" w:hAnsi="Arial" w:cs="Arial"/>
          <w:sz w:val="20"/>
          <w:szCs w:val="20"/>
        </w:rPr>
        <w:t>.</w:t>
      </w:r>
      <w:r w:rsidR="00F231ED">
        <w:rPr>
          <w:rFonts w:ascii="Arial" w:hAnsi="Arial" w:cs="Arial"/>
          <w:sz w:val="20"/>
          <w:szCs w:val="20"/>
        </w:rPr>
        <w:t xml:space="preserve"> </w:t>
      </w:r>
    </w:p>
    <w:p w14:paraId="1322B178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34FF16A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3915824D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 xml:space="preserve">, že na jím vydaném daňovém dokladu bude uvedeno pouze </w:t>
      </w:r>
      <w:r w:rsidR="00360424" w:rsidRPr="00996EB0">
        <w:rPr>
          <w:rFonts w:ascii="Arial" w:hAnsi="Arial" w:cs="Arial"/>
          <w:sz w:val="20"/>
          <w:szCs w:val="20"/>
        </w:rPr>
        <w:t>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09349832" w14:textId="5CCB8BCA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 w:rsidR="00AD0581"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</w:t>
      </w:r>
      <w:r w:rsidR="00463043">
        <w:rPr>
          <w:rFonts w:ascii="Arial" w:hAnsi="Arial" w:cs="Arial"/>
          <w:sz w:val="20"/>
          <w:szCs w:val="20"/>
        </w:rPr>
        <w:t xml:space="preserve">tečnost, že se prodávající stal </w:t>
      </w:r>
      <w:r w:rsidRPr="007A37C4">
        <w:rPr>
          <w:rFonts w:ascii="Arial" w:hAnsi="Arial" w:cs="Arial"/>
          <w:sz w:val="20"/>
          <w:szCs w:val="20"/>
        </w:rPr>
        <w:t>tzv. nespolehlivým plátcem DPH</w:t>
      </w:r>
      <w:r w:rsidR="00D41C29">
        <w:rPr>
          <w:rFonts w:ascii="Arial" w:hAnsi="Arial" w:cs="Arial"/>
          <w:sz w:val="20"/>
          <w:szCs w:val="20"/>
        </w:rPr>
        <w:t>,</w:t>
      </w:r>
      <w:r w:rsidRPr="007A37C4">
        <w:rPr>
          <w:rFonts w:ascii="Arial" w:hAnsi="Arial" w:cs="Arial"/>
          <w:sz w:val="20"/>
          <w:szCs w:val="20"/>
        </w:rPr>
        <w:t xml:space="preserve"> bude ověřena z veřejně dostupného Registru plátců DPH a identifikovaných osob, což prodávající výslovně akceptuje a nebude činit sporným.</w:t>
      </w:r>
    </w:p>
    <w:p w14:paraId="41BF6FEF" w14:textId="77777777" w:rsidR="00A30CBC" w:rsidRPr="00A30CBC" w:rsidRDefault="00A30CBC" w:rsidP="007A23A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0CBC">
        <w:rPr>
          <w:rFonts w:ascii="Arial" w:eastAsia="Times New Roman" w:hAnsi="Arial" w:cs="Arial"/>
          <w:sz w:val="20"/>
          <w:szCs w:val="20"/>
          <w:lang w:eastAsia="cs-CZ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16931-1:2017.</w:t>
      </w:r>
    </w:p>
    <w:p w14:paraId="6835FF62" w14:textId="77777777" w:rsidR="00CC6F58" w:rsidRPr="008979E5" w:rsidRDefault="00CC6F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3620CCC1" w14:textId="082D0944" w:rsidR="00D561E5" w:rsidRPr="00064FD2" w:rsidRDefault="00D561E5" w:rsidP="00D561E5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064FD2">
        <w:rPr>
          <w:rFonts w:ascii="Arial" w:hAnsi="Arial" w:cs="Arial"/>
          <w:sz w:val="20"/>
          <w:szCs w:val="20"/>
        </w:rPr>
        <w:t xml:space="preserve">oba plnění: nejpozději do </w:t>
      </w:r>
      <w:r w:rsidRPr="00064FD2"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ří (3)"/>
              <w:format w:val="None"/>
            </w:textInput>
          </w:ffData>
        </w:fldChar>
      </w:r>
      <w:r w:rsidRPr="00064FD2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064FD2">
        <w:rPr>
          <w:rFonts w:ascii="Arial" w:eastAsia="Arial" w:hAnsi="Arial" w:cs="Arial"/>
          <w:sz w:val="20"/>
          <w:szCs w:val="20"/>
        </w:rPr>
      </w:r>
      <w:r w:rsidRPr="00064FD2">
        <w:rPr>
          <w:rFonts w:ascii="Arial" w:eastAsia="Arial" w:hAnsi="Arial" w:cs="Arial"/>
          <w:sz w:val="20"/>
          <w:szCs w:val="20"/>
        </w:rPr>
        <w:fldChar w:fldCharType="separate"/>
      </w:r>
      <w:r w:rsidRPr="00064FD2">
        <w:rPr>
          <w:rFonts w:ascii="Arial" w:eastAsia="Arial" w:hAnsi="Arial" w:cs="Arial"/>
          <w:noProof/>
          <w:sz w:val="20"/>
          <w:szCs w:val="20"/>
        </w:rPr>
        <w:t>tří (3)</w:t>
      </w:r>
      <w:r w:rsidRPr="00064FD2">
        <w:rPr>
          <w:rFonts w:ascii="Arial" w:eastAsia="Arial" w:hAnsi="Arial" w:cs="Arial"/>
          <w:sz w:val="20"/>
          <w:szCs w:val="20"/>
        </w:rPr>
        <w:fldChar w:fldCharType="end"/>
      </w:r>
      <w:r w:rsidRPr="00064FD2">
        <w:rPr>
          <w:rFonts w:ascii="Arial" w:eastAsia="Arial" w:hAnsi="Arial" w:cs="Arial"/>
          <w:sz w:val="20"/>
          <w:szCs w:val="20"/>
        </w:rPr>
        <w:t xml:space="preserve"> </w:t>
      </w:r>
      <w:r w:rsidRPr="00064FD2">
        <w:rPr>
          <w:rFonts w:ascii="Arial" w:hAnsi="Arial" w:cs="Arial"/>
          <w:sz w:val="20"/>
          <w:szCs w:val="20"/>
        </w:rPr>
        <w:t xml:space="preserve">pracovních dnů ode dne </w:t>
      </w:r>
      <w:r w:rsidR="00F34813">
        <w:rPr>
          <w:rFonts w:ascii="Arial" w:hAnsi="Arial" w:cs="Arial"/>
          <w:sz w:val="20"/>
          <w:szCs w:val="20"/>
        </w:rPr>
        <w:t>odeslání pokynu</w:t>
      </w:r>
      <w:r w:rsidRPr="00064FD2">
        <w:rPr>
          <w:rFonts w:ascii="Arial" w:hAnsi="Arial" w:cs="Arial"/>
          <w:sz w:val="20"/>
          <w:szCs w:val="20"/>
        </w:rPr>
        <w:t xml:space="preserve">, dodání do místa plnění dle čl. </w:t>
      </w:r>
      <w:proofErr w:type="gramStart"/>
      <w:r w:rsidRPr="00064FD2">
        <w:rPr>
          <w:rFonts w:ascii="Arial" w:hAnsi="Arial" w:cs="Arial"/>
          <w:sz w:val="20"/>
          <w:szCs w:val="20"/>
        </w:rPr>
        <w:t>4.1. této</w:t>
      </w:r>
      <w:proofErr w:type="gramEnd"/>
      <w:r w:rsidRPr="00064FD2">
        <w:rPr>
          <w:rFonts w:ascii="Arial" w:hAnsi="Arial" w:cs="Arial"/>
          <w:sz w:val="20"/>
          <w:szCs w:val="20"/>
        </w:rPr>
        <w:t xml:space="preserve"> </w:t>
      </w:r>
      <w:r w:rsidR="00F34813">
        <w:rPr>
          <w:rFonts w:ascii="Arial" w:hAnsi="Arial" w:cs="Arial"/>
          <w:sz w:val="20"/>
          <w:szCs w:val="20"/>
        </w:rPr>
        <w:t>kupní smlouvy</w:t>
      </w:r>
      <w:r w:rsidRPr="00064FD2">
        <w:rPr>
          <w:rFonts w:ascii="Arial" w:hAnsi="Arial" w:cs="Arial"/>
          <w:sz w:val="20"/>
          <w:szCs w:val="20"/>
        </w:rPr>
        <w:t xml:space="preserve"> vždy pouze v pracovní den mezi </w:t>
      </w:r>
      <w:r w:rsidR="00ED30C8">
        <w:rPr>
          <w:rFonts w:ascii="Arial" w:eastAsia="Arial" w:hAnsi="Arial" w:cs="Arial"/>
          <w:sz w:val="20"/>
          <w:szCs w:val="20"/>
        </w:rPr>
        <w:t>7:00 hod. a 15:00 hod.</w:t>
      </w:r>
      <w:r w:rsidRPr="00064FD2">
        <w:rPr>
          <w:rFonts w:ascii="Arial" w:hAnsi="Arial" w:cs="Arial"/>
          <w:sz w:val="20"/>
          <w:szCs w:val="20"/>
        </w:rPr>
        <w:t>, nebude-li konkrétně dohodnuto jinak.</w:t>
      </w:r>
    </w:p>
    <w:p w14:paraId="235BCB7A" w14:textId="3310FA32" w:rsidR="00D561E5" w:rsidRPr="00064FD2" w:rsidRDefault="00D561E5" w:rsidP="00D561E5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 xml:space="preserve">Předmět koupě bude prodávajícím kupujícímu odevzdán v místě plnění dohodnutém dle čl. </w:t>
      </w:r>
      <w:proofErr w:type="gramStart"/>
      <w:r w:rsidRPr="00064FD2">
        <w:rPr>
          <w:rFonts w:ascii="Arial" w:hAnsi="Arial" w:cs="Arial"/>
          <w:sz w:val="20"/>
          <w:szCs w:val="20"/>
        </w:rPr>
        <w:t>3.</w:t>
      </w:r>
      <w:r w:rsidR="00ED30C8">
        <w:rPr>
          <w:rFonts w:ascii="Arial" w:hAnsi="Arial" w:cs="Arial"/>
          <w:sz w:val="20"/>
          <w:szCs w:val="20"/>
        </w:rPr>
        <w:t>1</w:t>
      </w:r>
      <w:r w:rsidRPr="00064FD2">
        <w:rPr>
          <w:rFonts w:ascii="Arial" w:hAnsi="Arial" w:cs="Arial"/>
          <w:sz w:val="20"/>
          <w:szCs w:val="20"/>
        </w:rPr>
        <w:t>. této</w:t>
      </w:r>
      <w:proofErr w:type="gramEnd"/>
      <w:r w:rsidRPr="00064FD2">
        <w:rPr>
          <w:rFonts w:ascii="Arial" w:hAnsi="Arial" w:cs="Arial"/>
          <w:sz w:val="20"/>
          <w:szCs w:val="20"/>
        </w:rPr>
        <w:t xml:space="preserve"> </w:t>
      </w:r>
      <w:r w:rsidR="00F34813">
        <w:rPr>
          <w:rFonts w:ascii="Arial" w:hAnsi="Arial" w:cs="Arial"/>
          <w:sz w:val="20"/>
          <w:szCs w:val="20"/>
        </w:rPr>
        <w:t>kupní smlouvy</w:t>
      </w:r>
      <w:r w:rsidRPr="00064FD2">
        <w:rPr>
          <w:rFonts w:ascii="Arial" w:hAnsi="Arial" w:cs="Arial"/>
          <w:sz w:val="20"/>
          <w:szCs w:val="20"/>
        </w:rPr>
        <w:t xml:space="preserve"> po předchozí dohodě o přesné době dodání mezi os</w:t>
      </w:r>
      <w:r w:rsidR="0093356B">
        <w:rPr>
          <w:rFonts w:ascii="Arial" w:hAnsi="Arial" w:cs="Arial"/>
          <w:sz w:val="20"/>
          <w:szCs w:val="20"/>
        </w:rPr>
        <w:t>obami uvedenými v čl. 4.3. a 4.4</w:t>
      </w:r>
      <w:r w:rsidRPr="00064FD2">
        <w:rPr>
          <w:rFonts w:ascii="Arial" w:hAnsi="Arial" w:cs="Arial"/>
          <w:sz w:val="20"/>
          <w:szCs w:val="20"/>
        </w:rPr>
        <w:t xml:space="preserve">. této </w:t>
      </w:r>
      <w:r w:rsidR="00F34813">
        <w:rPr>
          <w:rFonts w:ascii="Arial" w:hAnsi="Arial" w:cs="Arial"/>
          <w:sz w:val="20"/>
          <w:szCs w:val="20"/>
        </w:rPr>
        <w:t>kupní smlouvy</w:t>
      </w:r>
      <w:r w:rsidRPr="00064FD2">
        <w:rPr>
          <w:rFonts w:ascii="Arial" w:hAnsi="Arial" w:cs="Arial"/>
          <w:sz w:val="20"/>
          <w:szCs w:val="20"/>
        </w:rPr>
        <w:t xml:space="preserve"> a potvrzení </w:t>
      </w:r>
      <w:r w:rsidRPr="00064FD2"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odacího (stáčecího) listu"/>
              <w:format w:val="None"/>
            </w:textInput>
          </w:ffData>
        </w:fldChar>
      </w:r>
      <w:r w:rsidRPr="00064FD2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064FD2">
        <w:rPr>
          <w:rFonts w:ascii="Arial" w:eastAsia="Arial" w:hAnsi="Arial" w:cs="Arial"/>
          <w:sz w:val="20"/>
          <w:szCs w:val="20"/>
        </w:rPr>
      </w:r>
      <w:r w:rsidRPr="00064FD2">
        <w:rPr>
          <w:rFonts w:ascii="Arial" w:eastAsia="Arial" w:hAnsi="Arial" w:cs="Arial"/>
          <w:sz w:val="20"/>
          <w:szCs w:val="20"/>
        </w:rPr>
        <w:fldChar w:fldCharType="separate"/>
      </w:r>
      <w:r w:rsidRPr="00064FD2">
        <w:rPr>
          <w:rFonts w:ascii="Arial" w:eastAsia="Arial" w:hAnsi="Arial" w:cs="Arial"/>
          <w:noProof/>
          <w:sz w:val="20"/>
          <w:szCs w:val="20"/>
        </w:rPr>
        <w:t>dodacího (stáčecího) listu</w:t>
      </w:r>
      <w:r w:rsidRPr="00064FD2">
        <w:rPr>
          <w:rFonts w:ascii="Arial" w:eastAsia="Arial" w:hAnsi="Arial" w:cs="Arial"/>
          <w:sz w:val="20"/>
          <w:szCs w:val="20"/>
        </w:rPr>
        <w:fldChar w:fldCharType="end"/>
      </w:r>
      <w:r w:rsidRPr="00064FD2">
        <w:rPr>
          <w:rFonts w:ascii="Arial" w:hAnsi="Arial" w:cs="Arial"/>
          <w:sz w:val="20"/>
          <w:szCs w:val="20"/>
        </w:rPr>
        <w:t xml:space="preserve"> za kupujícího. Předání a převzetí plnění bude potvrzeno oběma stranami na dodacím listě. Prodávající je povinen odevzdat předmět koupě v souladu s podmínkami dle  čl. 2. této </w:t>
      </w:r>
      <w:r w:rsidR="00F34813">
        <w:rPr>
          <w:rFonts w:ascii="Arial" w:hAnsi="Arial" w:cs="Arial"/>
          <w:sz w:val="20"/>
          <w:szCs w:val="20"/>
        </w:rPr>
        <w:t>kupní smlouvy</w:t>
      </w:r>
      <w:r w:rsidRPr="00064FD2">
        <w:rPr>
          <w:rFonts w:ascii="Arial" w:hAnsi="Arial" w:cs="Arial"/>
          <w:sz w:val="20"/>
          <w:szCs w:val="20"/>
        </w:rPr>
        <w:t>.</w:t>
      </w:r>
    </w:p>
    <w:p w14:paraId="1399C61D" w14:textId="77777777" w:rsidR="00D561E5" w:rsidRPr="00064FD2" w:rsidRDefault="00D561E5" w:rsidP="00D561E5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 xml:space="preserve">Prodávající je povinen při odevzdání předmětu koupě, tj. při každé dodávce předmětu plnění předat kupujícímu: </w:t>
      </w:r>
    </w:p>
    <w:p w14:paraId="0D520242" w14:textId="1668066E" w:rsidR="00D561E5" w:rsidRPr="00064FD2" w:rsidRDefault="00D561E5" w:rsidP="00D561E5">
      <w:pPr>
        <w:pStyle w:val="rove2"/>
        <w:numPr>
          <w:ilvl w:val="0"/>
          <w:numId w:val="32"/>
        </w:numPr>
        <w:spacing w:line="276" w:lineRule="auto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 xml:space="preserve">dodací (stáčecí) list – bude obsahovat </w:t>
      </w:r>
      <w:r w:rsidR="00ED30C8">
        <w:rPr>
          <w:rFonts w:ascii="Arial" w:hAnsi="Arial" w:cs="Arial"/>
          <w:sz w:val="20"/>
          <w:szCs w:val="20"/>
        </w:rPr>
        <w:t>název plnění</w:t>
      </w:r>
      <w:r w:rsidRPr="00064FD2">
        <w:rPr>
          <w:rFonts w:ascii="Arial" w:hAnsi="Arial" w:cs="Arial"/>
          <w:sz w:val="20"/>
          <w:szCs w:val="20"/>
        </w:rPr>
        <w:t xml:space="preserve"> předmětu koupě, název a č. střediska kupujícího.</w:t>
      </w:r>
    </w:p>
    <w:p w14:paraId="1E2D488A" w14:textId="6A071981" w:rsidR="00D561E5" w:rsidRPr="00064FD2" w:rsidRDefault="00D561E5" w:rsidP="00D561E5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 xml:space="preserve">Prodávající je dále povinen předat kupujícímu (v prosté kopii) při každé první dodávce v každém kalendářním čtvrtletí trvání této </w:t>
      </w:r>
      <w:r w:rsidR="00F34813">
        <w:rPr>
          <w:rFonts w:ascii="Arial" w:hAnsi="Arial" w:cs="Arial"/>
          <w:sz w:val="20"/>
          <w:szCs w:val="20"/>
        </w:rPr>
        <w:t>kupní smlouvy</w:t>
      </w:r>
      <w:r w:rsidRPr="00064FD2">
        <w:rPr>
          <w:rFonts w:ascii="Arial" w:hAnsi="Arial" w:cs="Arial"/>
          <w:sz w:val="20"/>
          <w:szCs w:val="20"/>
        </w:rPr>
        <w:t xml:space="preserve"> a současně zaslat na e-mail: </w:t>
      </w:r>
      <w:hyperlink r:id="rId16" w:history="1">
        <w:r w:rsidRPr="0023553D">
          <w:rPr>
            <w:rStyle w:val="Hypertextovodkaz"/>
            <w:rFonts w:ascii="Arial" w:eastAsia="Calibri" w:hAnsi="Arial" w:cs="Arial"/>
            <w:sz w:val="20"/>
            <w:szCs w:val="20"/>
          </w:rPr>
          <w:t>daniel.zizka@suspk.eu</w:t>
        </w:r>
      </w:hyperlink>
      <w:r w:rsidRPr="00064FD2">
        <w:rPr>
          <w:rFonts w:ascii="Arial" w:eastAsia="Calibri" w:hAnsi="Arial" w:cs="Arial"/>
          <w:sz w:val="20"/>
          <w:szCs w:val="20"/>
        </w:rPr>
        <w:t>:</w:t>
      </w:r>
    </w:p>
    <w:p w14:paraId="4A449034" w14:textId="77777777" w:rsidR="00D561E5" w:rsidRPr="00064FD2" w:rsidRDefault="00D561E5" w:rsidP="00D561E5">
      <w:pPr>
        <w:pStyle w:val="rove2"/>
        <w:numPr>
          <w:ilvl w:val="0"/>
          <w:numId w:val="33"/>
        </w:numPr>
        <w:spacing w:line="276" w:lineRule="auto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>atest kvality;</w:t>
      </w:r>
    </w:p>
    <w:p w14:paraId="435CEBF7" w14:textId="77777777" w:rsidR="00D561E5" w:rsidRPr="00064FD2" w:rsidRDefault="00D561E5" w:rsidP="00D561E5">
      <w:pPr>
        <w:pStyle w:val="rove2"/>
        <w:numPr>
          <w:ilvl w:val="0"/>
          <w:numId w:val="33"/>
        </w:numPr>
        <w:spacing w:line="276" w:lineRule="auto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>bezpečnostní list (souhrn identifikačních údajů, údaje nezbytné pro ochranu zdraví, bezpečnosti a životního prostředí) předloží prodávající v prosté kopii.</w:t>
      </w:r>
    </w:p>
    <w:p w14:paraId="5ED52ABC" w14:textId="026BEB94" w:rsidR="00D561E5" w:rsidRPr="00064FD2" w:rsidRDefault="00D561E5" w:rsidP="00D561E5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lastRenderedPageBreak/>
        <w:t>Prodávající</w:t>
      </w:r>
      <w:r w:rsidRPr="00064FD2">
        <w:rPr>
          <w:rFonts w:ascii="Arial" w:hAnsi="Arial" w:cs="Arial"/>
          <w:color w:val="000000"/>
          <w:sz w:val="20"/>
          <w:szCs w:val="20"/>
        </w:rPr>
        <w:t xml:space="preserve"> se zavazuje zajistit vlastním nákladem provedení všech potřebných zkoušek </w:t>
      </w:r>
      <w:r w:rsidRPr="00064FD2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F34813">
        <w:rPr>
          <w:rFonts w:ascii="Arial" w:hAnsi="Arial" w:cs="Arial"/>
          <w:sz w:val="20"/>
          <w:szCs w:val="20"/>
        </w:rPr>
        <w:t>kupní smlouvou</w:t>
      </w:r>
      <w:r w:rsidRPr="00064FD2">
        <w:rPr>
          <w:rFonts w:ascii="Arial" w:hAnsi="Arial" w:cs="Arial"/>
          <w:sz w:val="20"/>
          <w:szCs w:val="20"/>
        </w:rPr>
        <w:t xml:space="preserve"> požadováno a k předložení těchto dokladů kupujícímu.</w:t>
      </w:r>
    </w:p>
    <w:p w14:paraId="32D55D7E" w14:textId="77777777" w:rsidR="00D561E5" w:rsidRPr="00064FD2" w:rsidRDefault="00D561E5" w:rsidP="00D561E5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064FD2">
        <w:rPr>
          <w:rFonts w:ascii="Arial" w:hAnsi="Arial" w:cs="Arial"/>
          <w:color w:val="000000"/>
          <w:sz w:val="20"/>
          <w:szCs w:val="20"/>
        </w:rPr>
        <w:t>Prodávající se zavazuje dodávat předmět koupě při dodržování podmínek stanovených v dohodě ADR o přepravě nebezpečných věcí přepravcem pohonných hmot.</w:t>
      </w:r>
    </w:p>
    <w:p w14:paraId="08300803" w14:textId="64FC860A" w:rsidR="00392ED6" w:rsidRPr="00392ED6" w:rsidRDefault="00D561E5" w:rsidP="007001E1">
      <w:pPr>
        <w:pStyle w:val="rove2"/>
        <w:numPr>
          <w:ilvl w:val="1"/>
          <w:numId w:val="34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064FD2">
        <w:rPr>
          <w:rFonts w:ascii="Arial" w:hAnsi="Arial" w:cs="Arial"/>
          <w:color w:val="000000"/>
          <w:sz w:val="20"/>
          <w:szCs w:val="20"/>
        </w:rPr>
        <w:t>Prodávající se zavazuje dodávat předmět koupě pouze vozidly (cisternami) vybavenými kalibrovanými počítadly a umožňujícími přepočet stočených litrů na litry stočené při 15° C spolu s tiskem stáčecího lístku. Kupující uhradí za dodávku pohonných hmot kupní cenu, pouze však za množství přepočtené na litry stočené při 15° C dle stáčecího lístku</w:t>
      </w:r>
      <w:r w:rsidR="00392ED6" w:rsidRPr="00392ED6">
        <w:rPr>
          <w:rFonts w:ascii="Arial" w:hAnsi="Arial" w:cs="Arial"/>
          <w:color w:val="000000"/>
          <w:sz w:val="20"/>
          <w:szCs w:val="20"/>
        </w:rPr>
        <w:t>.</w:t>
      </w:r>
    </w:p>
    <w:p w14:paraId="35B0183B" w14:textId="4C483880" w:rsidR="00CC6F58" w:rsidRPr="00A018B9" w:rsidRDefault="002E31D1" w:rsidP="00381D52">
      <w:pPr>
        <w:pStyle w:val="rove1"/>
        <w:numPr>
          <w:ilvl w:val="0"/>
          <w:numId w:val="34"/>
        </w:numPr>
        <w:spacing w:before="240"/>
        <w:ind w:left="567" w:hanging="56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  <w:r w:rsidR="007B2D4C">
        <w:rPr>
          <w:rFonts w:ascii="Arial" w:hAnsi="Arial" w:cs="Arial"/>
          <w:sz w:val="20"/>
          <w:szCs w:val="20"/>
        </w:rPr>
        <w:t xml:space="preserve"> a smluvní pokuty</w:t>
      </w:r>
    </w:p>
    <w:p w14:paraId="3F9E71AA" w14:textId="698EE7E1" w:rsidR="00B0114E" w:rsidRPr="00913660" w:rsidRDefault="00B0114E" w:rsidP="00826F26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 xml:space="preserve">. Za vadu se považují i vady v dokladech dle čl. </w:t>
      </w:r>
      <w:proofErr w:type="gramStart"/>
      <w:r w:rsidRPr="00913660">
        <w:rPr>
          <w:rFonts w:ascii="Arial" w:hAnsi="Arial" w:cs="Arial"/>
          <w:sz w:val="20"/>
          <w:szCs w:val="20"/>
        </w:rPr>
        <w:t>7.</w:t>
      </w:r>
      <w:r w:rsidR="0093356B"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>. a 7.</w:t>
      </w:r>
      <w:r w:rsidR="0093356B">
        <w:rPr>
          <w:rFonts w:ascii="Arial" w:hAnsi="Arial" w:cs="Arial"/>
          <w:sz w:val="20"/>
          <w:szCs w:val="20"/>
        </w:rPr>
        <w:t>4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3C7B659E" w14:textId="77777777" w:rsidR="00B0114E" w:rsidRPr="00913660" w:rsidRDefault="00B0114E" w:rsidP="007001E1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14:paraId="6AFECC52" w14:textId="02FB934A" w:rsidR="0093356B" w:rsidRPr="00064FD2" w:rsidRDefault="0093356B" w:rsidP="007001E1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při dodání (stáčení) a musí být zabezpečen proti následné manipulaci. Pokud jakost předmětu koupě nebude v souladu s touto </w:t>
      </w:r>
      <w:r>
        <w:rPr>
          <w:rFonts w:ascii="Arial" w:hAnsi="Arial" w:cs="Arial"/>
          <w:sz w:val="20"/>
          <w:szCs w:val="20"/>
        </w:rPr>
        <w:t>kupní smlouvou</w:t>
      </w:r>
      <w:r w:rsidRPr="00064FD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koupě a smluvní pokutu ve výši 10 000,00 Kč za každý takový případ. Současně vznikne nárok kupujícího z titulu odpovědnosti za vady předmětu koupě.</w:t>
      </w:r>
    </w:p>
    <w:p w14:paraId="6B9C1E17" w14:textId="4BF161B8" w:rsidR="007B2D4C" w:rsidRPr="00717042" w:rsidRDefault="0093356B" w:rsidP="007001E1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sz w:val="20"/>
          <w:szCs w:val="20"/>
        </w:rPr>
        <w:t>V případě, že prodávající neodevzdá předmět koupě v ujednaném množství a jakosti včas, má kupující nárok na smluvní pokutu ve výši 1</w:t>
      </w:r>
      <w:r>
        <w:rPr>
          <w:rFonts w:ascii="Arial" w:hAnsi="Arial" w:cs="Arial"/>
          <w:sz w:val="20"/>
          <w:szCs w:val="20"/>
        </w:rPr>
        <w:t xml:space="preserve"> </w:t>
      </w:r>
      <w:r w:rsidRPr="00064FD2">
        <w:rPr>
          <w:rFonts w:ascii="Arial" w:hAnsi="Arial" w:cs="Arial"/>
          <w:sz w:val="20"/>
          <w:szCs w:val="20"/>
        </w:rPr>
        <w:t>000,00 Kč za každý byť jen započatý den prodlení</w:t>
      </w:r>
      <w:r w:rsidR="007B2D4C" w:rsidRPr="00934AFF">
        <w:rPr>
          <w:rFonts w:ascii="Arial" w:hAnsi="Arial" w:cs="Arial"/>
          <w:sz w:val="20"/>
          <w:szCs w:val="20"/>
        </w:rPr>
        <w:t>.</w:t>
      </w:r>
    </w:p>
    <w:p w14:paraId="549910AD" w14:textId="44FD7376" w:rsidR="00B0114E" w:rsidRPr="00717042" w:rsidRDefault="00F552FE" w:rsidP="007001E1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6A387F">
        <w:rPr>
          <w:rFonts w:ascii="Arial" w:eastAsia="Arial" w:hAnsi="Arial" w:cs="Arial"/>
          <w:sz w:val="22"/>
          <w:szCs w:val="22"/>
        </w:rPr>
        <w:t>Smluvní pokuty dle této smlouvy se stávají splatnými dnem následujícím po dni, ve kterém na ně vznikl nárok</w:t>
      </w:r>
      <w:r w:rsidR="00B0114E" w:rsidRPr="00717042">
        <w:rPr>
          <w:rFonts w:ascii="Arial" w:hAnsi="Arial" w:cs="Arial"/>
          <w:sz w:val="20"/>
          <w:szCs w:val="20"/>
        </w:rPr>
        <w:t>.</w:t>
      </w:r>
    </w:p>
    <w:p w14:paraId="0F21A42D" w14:textId="5B77D3A5" w:rsidR="00C40272" w:rsidRDefault="00F552FE" w:rsidP="007001E1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ED04E4">
        <w:rPr>
          <w:rFonts w:ascii="Arial" w:eastAsia="Arial" w:hAnsi="Arial" w:cs="Arial"/>
          <w:sz w:val="22"/>
          <w:szCs w:val="22"/>
        </w:rPr>
        <w:t xml:space="preserve">Ustanovením </w:t>
      </w:r>
      <w:r>
        <w:rPr>
          <w:rFonts w:ascii="Arial" w:eastAsia="Arial" w:hAnsi="Arial" w:cs="Arial"/>
          <w:sz w:val="22"/>
          <w:szCs w:val="22"/>
        </w:rPr>
        <w:t>o smluvní pokutě</w:t>
      </w:r>
      <w:r w:rsidRPr="00ED04E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ani jejím zaplacením </w:t>
      </w:r>
      <w:r w:rsidRPr="00ED04E4">
        <w:rPr>
          <w:rFonts w:ascii="Arial" w:eastAsia="Arial" w:hAnsi="Arial" w:cs="Arial"/>
          <w:sz w:val="22"/>
          <w:szCs w:val="22"/>
        </w:rPr>
        <w:t xml:space="preserve">není dotčeno právo </w:t>
      </w:r>
      <w:r>
        <w:rPr>
          <w:rFonts w:ascii="Arial" w:eastAsia="Arial" w:hAnsi="Arial" w:cs="Arial"/>
          <w:sz w:val="22"/>
          <w:szCs w:val="22"/>
        </w:rPr>
        <w:t>kupujícího</w:t>
      </w:r>
      <w:r w:rsidRPr="00ED04E4">
        <w:rPr>
          <w:rFonts w:ascii="Arial" w:eastAsia="Arial" w:hAnsi="Arial" w:cs="Arial"/>
          <w:sz w:val="22"/>
          <w:szCs w:val="22"/>
        </w:rPr>
        <w:t xml:space="preserve"> domáhat se náhrady případné škody </w:t>
      </w:r>
      <w:r>
        <w:rPr>
          <w:rFonts w:ascii="Arial" w:eastAsia="Arial" w:hAnsi="Arial" w:cs="Arial"/>
          <w:sz w:val="22"/>
          <w:szCs w:val="22"/>
        </w:rPr>
        <w:t xml:space="preserve">v celém rozsahu, </w:t>
      </w:r>
      <w:r w:rsidRPr="00ED04E4">
        <w:rPr>
          <w:rFonts w:ascii="Arial" w:eastAsia="Arial" w:hAnsi="Arial" w:cs="Arial"/>
          <w:sz w:val="22"/>
          <w:szCs w:val="22"/>
        </w:rPr>
        <w:t>způsobené porušením této smlouvy p</w:t>
      </w:r>
      <w:r>
        <w:rPr>
          <w:rFonts w:ascii="Arial" w:eastAsia="Arial" w:hAnsi="Arial" w:cs="Arial"/>
          <w:sz w:val="22"/>
          <w:szCs w:val="22"/>
        </w:rPr>
        <w:t>rodávajícím</w:t>
      </w:r>
      <w:r w:rsidR="00C40272" w:rsidRPr="0019056B">
        <w:rPr>
          <w:rFonts w:ascii="Arial" w:hAnsi="Arial" w:cs="Arial"/>
          <w:sz w:val="20"/>
          <w:szCs w:val="20"/>
        </w:rPr>
        <w:t>.</w:t>
      </w:r>
    </w:p>
    <w:p w14:paraId="64641EF3" w14:textId="77777777" w:rsidR="0088183F" w:rsidRPr="0088183F" w:rsidRDefault="0088183F" w:rsidP="00381D52">
      <w:pPr>
        <w:pStyle w:val="rove1"/>
        <w:numPr>
          <w:ilvl w:val="0"/>
          <w:numId w:val="35"/>
        </w:numPr>
        <w:spacing w:before="0"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8183F">
        <w:rPr>
          <w:rFonts w:ascii="Arial" w:hAnsi="Arial" w:cs="Arial"/>
          <w:sz w:val="20"/>
          <w:szCs w:val="20"/>
        </w:rPr>
        <w:t>Záruka za jakost</w:t>
      </w:r>
    </w:p>
    <w:p w14:paraId="70044CF5" w14:textId="13337FB3" w:rsidR="0088183F" w:rsidRPr="00064FD2" w:rsidRDefault="0088183F" w:rsidP="007001E1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064FD2">
        <w:rPr>
          <w:rFonts w:ascii="Arial" w:hAnsi="Arial" w:cs="Arial"/>
          <w:color w:val="000000"/>
          <w:sz w:val="20"/>
          <w:szCs w:val="20"/>
        </w:rPr>
        <w:t xml:space="preserve">Prodávající se zavazuje, že si předmět koupě zachová vlastnosti uvedené v čl. 2. této </w:t>
      </w:r>
      <w:r>
        <w:rPr>
          <w:rFonts w:ascii="Arial" w:hAnsi="Arial" w:cs="Arial"/>
          <w:color w:val="000000"/>
          <w:sz w:val="20"/>
          <w:szCs w:val="20"/>
        </w:rPr>
        <w:t>kupní smlouvy</w:t>
      </w:r>
      <w:r w:rsidRPr="00064FD2">
        <w:rPr>
          <w:rFonts w:ascii="Arial" w:hAnsi="Arial" w:cs="Arial"/>
          <w:color w:val="000000"/>
          <w:sz w:val="20"/>
          <w:szCs w:val="20"/>
        </w:rPr>
        <w:t xml:space="preserve"> po dobu šesti (6) týdnů.</w:t>
      </w:r>
    </w:p>
    <w:p w14:paraId="2CE8DFE7" w14:textId="10D21174" w:rsidR="0088183F" w:rsidRDefault="0088183F" w:rsidP="007001E1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64FD2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</w:t>
      </w:r>
      <w:r w:rsidR="00ED30C8">
        <w:rPr>
          <w:rFonts w:ascii="Arial" w:hAnsi="Arial" w:cs="Arial"/>
          <w:color w:val="000000"/>
          <w:sz w:val="20"/>
          <w:szCs w:val="20"/>
        </w:rPr>
        <w:t>.</w:t>
      </w:r>
    </w:p>
    <w:p w14:paraId="18A41855" w14:textId="77777777" w:rsidR="009E5886" w:rsidRPr="00996EB0" w:rsidRDefault="009E5886" w:rsidP="007001E1">
      <w:pPr>
        <w:pStyle w:val="rove1"/>
        <w:keepNext/>
        <w:numPr>
          <w:ilvl w:val="0"/>
          <w:numId w:val="35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996EB0">
        <w:rPr>
          <w:rFonts w:ascii="Arial" w:hAnsi="Arial" w:cs="Arial"/>
          <w:kern w:val="32"/>
          <w:sz w:val="20"/>
          <w:szCs w:val="20"/>
        </w:rPr>
        <w:t>Osobní</w:t>
      </w:r>
      <w:r w:rsidRPr="00996EB0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6A464161" w14:textId="77777777" w:rsidR="00A30CBC" w:rsidRPr="00FB200C" w:rsidRDefault="00A30CBC" w:rsidP="007001E1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447118A" w14:textId="77777777" w:rsidR="00A30CBC" w:rsidRPr="009D5A05" w:rsidRDefault="00A30CBC" w:rsidP="007001E1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 w:rsidR="00243290"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 w:rsidR="00243290"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</w:t>
      </w:r>
      <w:r w:rsidRPr="009D5A05">
        <w:rPr>
          <w:rFonts w:ascii="Arial" w:hAnsi="Arial" w:cs="Arial"/>
          <w:sz w:val="20"/>
          <w:szCs w:val="20"/>
        </w:rPr>
        <w:t>zpracování námitku.</w:t>
      </w:r>
    </w:p>
    <w:p w14:paraId="557892CE" w14:textId="3C8509B3" w:rsidR="00A30CBC" w:rsidRPr="009D5A05" w:rsidRDefault="00F552FE" w:rsidP="007001E1">
      <w:pPr>
        <w:pStyle w:val="Odstavecseseznamem"/>
        <w:numPr>
          <w:ilvl w:val="1"/>
          <w:numId w:val="35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D5A05">
        <w:rPr>
          <w:rFonts w:ascii="Arial" w:hAnsi="Arial" w:cs="Arial"/>
          <w:sz w:val="20"/>
          <w:szCs w:val="20"/>
        </w:rPr>
        <w:t xml:space="preserve">Smluvní strany se zavazují dodržovat mlčenlivost o osobních údajích, o kterých se dozví v souvislosti s plněním této smlouvy nebo s nimi v souvislosti s touto smlouvou 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smlouvou uplatňovat zásady stanovené v zákoně č. 110/2019 Sb., o zpracování osobních údajů a nařízení Evropského </w:t>
      </w:r>
      <w:r w:rsidRPr="009D5A05">
        <w:rPr>
          <w:rFonts w:ascii="Arial" w:hAnsi="Arial" w:cs="Arial"/>
          <w:sz w:val="20"/>
          <w:szCs w:val="20"/>
        </w:rPr>
        <w:lastRenderedPageBreak/>
        <w:t>Parlamentu a Rady (EU) 2016/679 ze dne 27. dubna 2016, o ochraně fyzických osob v souvislosti se zpracováním osobních údajů a volném pohybu těchto údajů a o zrušení směrnice 95/46/ES (obecné nařízení o ochraně osobních údajů), které nabylo účinnosti dne 25. 5. 2018 (dále jen „GDPR“). Povinnost mlčenlivosti trvá i po ukončení účinnosti této smlouvy</w:t>
      </w:r>
      <w:r w:rsidR="00BB6AA3" w:rsidRPr="009D5A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A4C11B" w14:textId="77777777" w:rsidR="00A30CBC" w:rsidRPr="005B1C72" w:rsidRDefault="00A30CBC" w:rsidP="00A30CBC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90DB3D" w14:textId="31D17993" w:rsidR="00A30CBC" w:rsidRPr="005B1C72" w:rsidRDefault="00A30CBC" w:rsidP="007001E1">
      <w:pPr>
        <w:pStyle w:val="Odstavecseseznamem"/>
        <w:numPr>
          <w:ilvl w:val="1"/>
          <w:numId w:val="35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 zajistit, že jejich zaměstnanci a další osoby, které přijdou do styku s</w:t>
      </w:r>
      <w:r w:rsidR="00C43E30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osobními údaji v souvislosti s plněním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377001" w14:textId="77777777" w:rsidR="00A30CBC" w:rsidRDefault="00A30CBC" w:rsidP="007001E1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 nebo které bylo učiněno se souhlasem subjektu údajů.</w:t>
      </w:r>
    </w:p>
    <w:p w14:paraId="1DD09CB9" w14:textId="5DD345D6" w:rsidR="00A30CBC" w:rsidRDefault="00A30CBC" w:rsidP="007001E1">
      <w:pPr>
        <w:pStyle w:val="Odstavecseseznamem"/>
        <w:numPr>
          <w:ilvl w:val="1"/>
          <w:numId w:val="35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01C98003" w14:textId="4C540DDE" w:rsidR="000C3B3B" w:rsidRPr="00517ED9" w:rsidRDefault="000C3B3B" w:rsidP="000C3B3B">
      <w:pPr>
        <w:pStyle w:val="rove2"/>
        <w:numPr>
          <w:ilvl w:val="1"/>
          <w:numId w:val="35"/>
        </w:numPr>
        <w:spacing w:line="276" w:lineRule="auto"/>
        <w:rPr>
          <w:rFonts w:ascii="Arial" w:hAnsi="Arial" w:cs="Arial"/>
          <w:sz w:val="20"/>
          <w:szCs w:val="20"/>
        </w:rPr>
      </w:pPr>
      <w:r w:rsidRPr="00517ED9">
        <w:rPr>
          <w:rFonts w:ascii="Arial" w:hAnsi="Arial" w:cs="Arial"/>
          <w:sz w:val="20"/>
          <w:szCs w:val="20"/>
        </w:rPr>
        <w:t>V případě, že druhou smluvní stranou je fyzická osoba, platí také následující:</w:t>
      </w:r>
    </w:p>
    <w:p w14:paraId="2A409ACE" w14:textId="77777777" w:rsidR="000C3B3B" w:rsidRPr="00517ED9" w:rsidRDefault="000C3B3B" w:rsidP="000C3B3B">
      <w:pPr>
        <w:pStyle w:val="Odstavecseseznamem"/>
        <w:numPr>
          <w:ilvl w:val="0"/>
          <w:numId w:val="38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17ED9">
        <w:rPr>
          <w:rFonts w:ascii="Arial" w:hAnsi="Arial" w:cs="Arial"/>
          <w:sz w:val="20"/>
          <w:szCs w:val="20"/>
        </w:rPr>
        <w:t xml:space="preserve">Kupující jako správce osobních údajů dle zákona č. 110/2019 Sb., o zpracování osobních údajů, a GDPR, tímto informuje druhou smluvní stranu jako subjekt osobních údajů, že jeho údaje uvedené v této smlouvě zpracovává pro účely realizace, výkonu práv a povinností dle smlouvy. </w:t>
      </w:r>
    </w:p>
    <w:p w14:paraId="0D2B11CA" w14:textId="2D1AECC5" w:rsidR="000C3B3B" w:rsidRPr="00517ED9" w:rsidRDefault="000C3B3B" w:rsidP="000C3B3B">
      <w:pPr>
        <w:pStyle w:val="Odstavecseseznamem"/>
        <w:numPr>
          <w:ilvl w:val="0"/>
          <w:numId w:val="38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17ED9">
        <w:rPr>
          <w:rFonts w:ascii="Arial" w:hAnsi="Arial" w:cs="Arial"/>
          <w:sz w:val="20"/>
          <w:szCs w:val="20"/>
        </w:rPr>
        <w:t xml:space="preserve">Uvedený subjekt osobních údajů si je vědom svého práva přístupu ke svým osobním údajům, práva na opravu osobních údajů, jakož i dalších práv vyplývajících z výše uvedené legislativy. Další informace je možné nalézt na internetových stránkách kupujícího: </w:t>
      </w:r>
      <w:hyperlink r:id="rId17" w:history="1">
        <w:hyperlink r:id="rId18" w:history="1">
          <w:r w:rsidRPr="00517ED9">
            <w:rPr>
              <w:rStyle w:val="Hypertextovodkaz"/>
              <w:rFonts w:ascii="Arial" w:hAnsi="Arial" w:cs="Arial"/>
              <w:sz w:val="20"/>
              <w:szCs w:val="20"/>
            </w:rPr>
            <w:t>http://www.suspk.eu/o-nas-a/informace-ohledne-gdpr/</w:t>
          </w:r>
        </w:hyperlink>
      </w:hyperlink>
    </w:p>
    <w:p w14:paraId="67192E2F" w14:textId="77777777" w:rsidR="00A30CBC" w:rsidRPr="002825FA" w:rsidRDefault="00A30CBC" w:rsidP="00DD02F8">
      <w:pPr>
        <w:pStyle w:val="Odstavecseseznamem"/>
        <w:spacing w:after="0" w:line="240" w:lineRule="auto"/>
        <w:ind w:left="567"/>
        <w:contextualSpacing w:val="0"/>
        <w:jc w:val="both"/>
        <w:rPr>
          <w:rStyle w:val="Hypertextovodkaz"/>
          <w:rFonts w:cs="Arial"/>
        </w:rPr>
      </w:pPr>
    </w:p>
    <w:p w14:paraId="4C0DBE21" w14:textId="39022B1D" w:rsidR="009E5886" w:rsidRPr="000C3B3B" w:rsidRDefault="00A30CBC" w:rsidP="000C3B3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C3B3B">
        <w:rPr>
          <w:rFonts w:ascii="Arial" w:hAnsi="Arial" w:cs="Arial"/>
          <w:sz w:val="20"/>
          <w:szCs w:val="20"/>
        </w:rPr>
        <w:t>Smluvní strany se zavazují, že při správě a zpracování osobních údajů budou dále postupovat v</w:t>
      </w:r>
      <w:r w:rsidR="007D31DD" w:rsidRPr="000C3B3B">
        <w:rPr>
          <w:rFonts w:ascii="Arial" w:hAnsi="Arial" w:cs="Arial"/>
          <w:sz w:val="20"/>
          <w:szCs w:val="20"/>
        </w:rPr>
        <w:t> </w:t>
      </w:r>
      <w:r w:rsidRPr="000C3B3B">
        <w:rPr>
          <w:rFonts w:ascii="Arial" w:hAnsi="Arial" w:cs="Arial"/>
          <w:sz w:val="20"/>
          <w:szCs w:val="20"/>
        </w:rPr>
        <w:t>souladu s aktuální platnou a účinnou legislativou.</w:t>
      </w:r>
    </w:p>
    <w:p w14:paraId="4643D7E5" w14:textId="77777777" w:rsidR="00A30CBC" w:rsidRPr="00BB3E84" w:rsidRDefault="00A30CBC" w:rsidP="000C3B3B">
      <w:pPr>
        <w:pStyle w:val="rove1"/>
        <w:keepNext/>
        <w:numPr>
          <w:ilvl w:val="0"/>
          <w:numId w:val="35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 xml:space="preserve">Doba trvání </w:t>
      </w:r>
      <w:r w:rsidR="00243290">
        <w:rPr>
          <w:rFonts w:ascii="Arial" w:hAnsi="Arial" w:cs="Arial"/>
          <w:sz w:val="20"/>
          <w:szCs w:val="20"/>
        </w:rPr>
        <w:t>kupní smlouvy</w:t>
      </w:r>
    </w:p>
    <w:p w14:paraId="33BE5937" w14:textId="463CD7C5" w:rsidR="00A30CBC" w:rsidRPr="00B13431" w:rsidRDefault="00E243BE" w:rsidP="000C3B3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="0053770A">
        <w:rPr>
          <w:rFonts w:ascii="Arial" w:hAnsi="Arial" w:cs="Arial"/>
          <w:sz w:val="20"/>
          <w:szCs w:val="20"/>
        </w:rPr>
        <w:t>se sjednává na dobu určitou, a</w:t>
      </w:r>
      <w:r w:rsidR="0053770A" w:rsidRPr="00064FD2">
        <w:rPr>
          <w:rFonts w:ascii="Arial" w:eastAsia="Arial" w:hAnsi="Arial" w:cs="Arial"/>
          <w:sz w:val="20"/>
          <w:szCs w:val="20"/>
        </w:rPr>
        <w:t xml:space="preserve"> to do okamžiku kdy souhrnná kupní cena ze </w:t>
      </w:r>
      <w:r w:rsidR="0053770A" w:rsidRPr="00B13431">
        <w:rPr>
          <w:rFonts w:ascii="Arial" w:hAnsi="Arial" w:cs="Arial"/>
          <w:sz w:val="20"/>
          <w:szCs w:val="20"/>
        </w:rPr>
        <w:t xml:space="preserve">všech jednotlivých </w:t>
      </w:r>
      <w:r w:rsidR="0053770A">
        <w:rPr>
          <w:rFonts w:ascii="Arial" w:hAnsi="Arial" w:cs="Arial"/>
          <w:sz w:val="20"/>
          <w:szCs w:val="20"/>
        </w:rPr>
        <w:t xml:space="preserve">plnění na základě pokynů dle čl. 3 </w:t>
      </w:r>
      <w:r w:rsidR="0053770A" w:rsidRPr="00B13431">
        <w:rPr>
          <w:rFonts w:ascii="Arial" w:hAnsi="Arial" w:cs="Arial"/>
          <w:sz w:val="20"/>
          <w:szCs w:val="20"/>
        </w:rPr>
        <w:t xml:space="preserve"> této </w:t>
      </w:r>
      <w:r w:rsidR="0053770A">
        <w:rPr>
          <w:rFonts w:ascii="Arial" w:hAnsi="Arial" w:cs="Arial"/>
          <w:sz w:val="20"/>
          <w:szCs w:val="20"/>
        </w:rPr>
        <w:t>kupní smlouvy dosáhne částky</w:t>
      </w:r>
      <w:r w:rsidR="0053770A" w:rsidRPr="00064FD2">
        <w:rPr>
          <w:rFonts w:ascii="Arial" w:eastAsia="Arial" w:hAnsi="Arial" w:cs="Arial"/>
          <w:sz w:val="20"/>
          <w:szCs w:val="20"/>
        </w:rPr>
        <w:t xml:space="preserve"> </w:t>
      </w:r>
      <w:r w:rsidR="0053770A" w:rsidRPr="00BE39A0">
        <w:rPr>
          <w:rFonts w:ascii="Arial" w:eastAsia="Arial" w:hAnsi="Arial" w:cs="Arial"/>
          <w:sz w:val="20"/>
          <w:szCs w:val="20"/>
          <w:highlight w:val="yellow"/>
        </w:rPr>
        <w:t>doplnit nabídkovou cenu</w:t>
      </w:r>
      <w:r w:rsidR="0053770A">
        <w:rPr>
          <w:rFonts w:ascii="Arial" w:eastAsia="Arial" w:hAnsi="Arial" w:cs="Arial"/>
          <w:sz w:val="20"/>
          <w:szCs w:val="20"/>
        </w:rPr>
        <w:t xml:space="preserve"> </w:t>
      </w:r>
      <w:r w:rsidR="0053770A" w:rsidRPr="00064FD2">
        <w:rPr>
          <w:rFonts w:ascii="Arial" w:eastAsia="Arial" w:hAnsi="Arial" w:cs="Arial"/>
          <w:sz w:val="20"/>
          <w:szCs w:val="20"/>
        </w:rPr>
        <w:t xml:space="preserve">Kč bez DPH, nejdéle </w:t>
      </w:r>
      <w:r w:rsidR="0053770A">
        <w:rPr>
          <w:rFonts w:ascii="Arial" w:eastAsia="Arial" w:hAnsi="Arial" w:cs="Arial"/>
          <w:sz w:val="20"/>
          <w:szCs w:val="20"/>
        </w:rPr>
        <w:t>však</w:t>
      </w:r>
      <w:r w:rsidR="0053770A" w:rsidRPr="00064FD2">
        <w:rPr>
          <w:rFonts w:ascii="Arial" w:eastAsia="Arial" w:hAnsi="Arial" w:cs="Arial"/>
          <w:sz w:val="20"/>
          <w:szCs w:val="20"/>
        </w:rPr>
        <w:t xml:space="preserve"> do </w:t>
      </w:r>
      <w:r w:rsidR="0053770A">
        <w:rPr>
          <w:rFonts w:ascii="Arial" w:eastAsia="Arial" w:hAnsi="Arial" w:cs="Arial"/>
          <w:sz w:val="20"/>
          <w:szCs w:val="20"/>
        </w:rPr>
        <w:t>31. 12. 202</w:t>
      </w:r>
      <w:r w:rsidR="009D5A05">
        <w:rPr>
          <w:rFonts w:ascii="Arial" w:eastAsia="Arial" w:hAnsi="Arial" w:cs="Arial"/>
          <w:sz w:val="20"/>
          <w:szCs w:val="20"/>
        </w:rPr>
        <w:t>6</w:t>
      </w:r>
      <w:r w:rsidR="00EA3465" w:rsidRPr="007B2D4C">
        <w:rPr>
          <w:rFonts w:ascii="Arial" w:hAnsi="Arial" w:cs="Arial"/>
          <w:sz w:val="20"/>
          <w:szCs w:val="20"/>
        </w:rPr>
        <w:t>.</w:t>
      </w:r>
    </w:p>
    <w:p w14:paraId="28715179" w14:textId="358E10A8" w:rsidR="00A30CBC" w:rsidRPr="00B13431" w:rsidRDefault="00A30CBC" w:rsidP="000C3B3B">
      <w:pPr>
        <w:pStyle w:val="rove2"/>
        <w:numPr>
          <w:ilvl w:val="1"/>
          <w:numId w:val="35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 w:rsidR="00B501E7"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 w:rsidR="00B501E7"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 w:rsidR="00B501E7"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 w:rsidR="00243290">
        <w:rPr>
          <w:rFonts w:ascii="Arial" w:eastAsia="Arial" w:hAnsi="Arial" w:cs="Arial"/>
          <w:sz w:val="20"/>
          <w:szCs w:val="20"/>
        </w:rPr>
        <w:t>kupní smlouvy</w:t>
      </w:r>
      <w:r w:rsidR="00516B8D">
        <w:rPr>
          <w:rFonts w:ascii="Arial" w:eastAsia="Arial" w:hAnsi="Arial" w:cs="Arial"/>
          <w:sz w:val="20"/>
          <w:szCs w:val="20"/>
        </w:rPr>
        <w:t xml:space="preserve"> přesáhl částku </w:t>
      </w:r>
      <w:r w:rsidR="00E316DA" w:rsidRPr="00BE39A0">
        <w:rPr>
          <w:rFonts w:ascii="Arial" w:eastAsia="Arial" w:hAnsi="Arial" w:cs="Arial"/>
          <w:sz w:val="20"/>
          <w:szCs w:val="20"/>
          <w:highlight w:val="yellow"/>
        </w:rPr>
        <w:t>doplnit nabídkovou cenu</w:t>
      </w:r>
      <w:r w:rsidR="00E316DA">
        <w:rPr>
          <w:rFonts w:ascii="Arial" w:eastAsia="Arial" w:hAnsi="Arial" w:cs="Arial"/>
          <w:sz w:val="20"/>
          <w:szCs w:val="20"/>
        </w:rPr>
        <w:t xml:space="preserve"> </w:t>
      </w:r>
      <w:r w:rsidRPr="00B13431">
        <w:rPr>
          <w:rFonts w:ascii="Arial" w:eastAsia="Arial" w:hAnsi="Arial" w:cs="Arial"/>
          <w:sz w:val="20"/>
          <w:szCs w:val="20"/>
        </w:rPr>
        <w:t>Kč bez DPH.</w:t>
      </w:r>
    </w:p>
    <w:p w14:paraId="1E4F552B" w14:textId="7066194A" w:rsidR="00A30CBC" w:rsidRDefault="00A30CBC" w:rsidP="000C3B3B">
      <w:pPr>
        <w:pStyle w:val="rove2"/>
        <w:numPr>
          <w:ilvl w:val="1"/>
          <w:numId w:val="35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>O naplnění limitu</w:t>
      </w:r>
      <w:r w:rsidR="0094320B">
        <w:rPr>
          <w:rFonts w:ascii="Arial" w:eastAsia="Arial" w:hAnsi="Arial" w:cs="Arial"/>
          <w:sz w:val="20"/>
          <w:szCs w:val="20"/>
        </w:rPr>
        <w:t xml:space="preserve"> </w:t>
      </w:r>
      <w:r w:rsidR="00E316DA" w:rsidRPr="00BE39A0">
        <w:rPr>
          <w:rFonts w:ascii="Arial" w:eastAsia="Arial" w:hAnsi="Arial" w:cs="Arial"/>
          <w:sz w:val="20"/>
          <w:szCs w:val="20"/>
          <w:highlight w:val="yellow"/>
        </w:rPr>
        <w:t>doplnit nabídkovou cenu</w:t>
      </w:r>
      <w:r w:rsidR="00E316DA">
        <w:rPr>
          <w:rFonts w:ascii="Arial" w:eastAsia="Arial" w:hAnsi="Arial" w:cs="Arial"/>
          <w:sz w:val="20"/>
          <w:szCs w:val="20"/>
        </w:rPr>
        <w:t xml:space="preserve"> </w:t>
      </w:r>
      <w:r w:rsidRPr="00B13431">
        <w:rPr>
          <w:rFonts w:ascii="Arial" w:eastAsia="Arial" w:hAnsi="Arial" w:cs="Arial"/>
          <w:sz w:val="20"/>
          <w:szCs w:val="20"/>
        </w:rPr>
        <w:t>bez DPH prodávající kupujícího vyrozumí.</w:t>
      </w:r>
    </w:p>
    <w:p w14:paraId="0E11505E" w14:textId="1981A72B" w:rsidR="005316AF" w:rsidRDefault="005316AF" w:rsidP="000C3B3B">
      <w:pPr>
        <w:pStyle w:val="rove2"/>
        <w:numPr>
          <w:ilvl w:val="1"/>
          <w:numId w:val="35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13ED812F" w14:textId="343574E2" w:rsidR="005316AF" w:rsidRPr="007B2D4C" w:rsidRDefault="005316AF" w:rsidP="000C3B3B">
      <w:pPr>
        <w:pStyle w:val="rove2"/>
        <w:numPr>
          <w:ilvl w:val="1"/>
          <w:numId w:val="35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</w:t>
      </w:r>
      <w:r w:rsidR="007B2D4C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dnů. Prodávající není oprávněn dát výpověď kupujícímu podle předchozí věty v případě, že prodávající odmítl zaplatit část kupní ceny z důvodu vadného plnění.  </w:t>
      </w:r>
    </w:p>
    <w:p w14:paraId="64830DAA" w14:textId="77777777" w:rsidR="00A30CBC" w:rsidRPr="00BB3E84" w:rsidRDefault="00A30CBC" w:rsidP="000C3B3B">
      <w:pPr>
        <w:pStyle w:val="rove1"/>
        <w:keepNext/>
        <w:numPr>
          <w:ilvl w:val="0"/>
          <w:numId w:val="35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>Závěrečná ustanovení</w:t>
      </w:r>
    </w:p>
    <w:p w14:paraId="12B011B2" w14:textId="1E029AD8" w:rsidR="00A30CBC" w:rsidRPr="005B1C72" w:rsidRDefault="00A30CBC" w:rsidP="00FC5E52">
      <w:pPr>
        <w:pStyle w:val="Odstavecseseznamem"/>
        <w:numPr>
          <w:ilvl w:val="1"/>
          <w:numId w:val="35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>
        <w:rPr>
          <w:rFonts w:ascii="Arial" w:eastAsia="Times New Roman" w:hAnsi="Arial" w:cs="Arial"/>
          <w:sz w:val="20"/>
          <w:szCs w:val="20"/>
          <w:lang w:eastAsia="cs-CZ"/>
        </w:rPr>
        <w:t>prodávajícího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i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jsou závazné Obchodní podmínky Správy a údržby silnic Plzeňského kraje,</w:t>
      </w:r>
      <w:r w:rsidR="008818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proofErr w:type="gramStart"/>
      <w:r w:rsidR="0088183F">
        <w:rPr>
          <w:rFonts w:ascii="Arial" w:eastAsia="Times New Roman" w:hAnsi="Arial" w:cs="Arial"/>
          <w:sz w:val="20"/>
          <w:szCs w:val="20"/>
          <w:lang w:eastAsia="cs-CZ"/>
        </w:rPr>
        <w:t>p.o</w:t>
      </w:r>
      <w:proofErr w:type="spellEnd"/>
      <w:r w:rsidR="0088183F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End"/>
      <w:r w:rsidR="0088183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FC5E52" w:rsidRPr="00FC5E52">
        <w:rPr>
          <w:rFonts w:ascii="Arial" w:eastAsia="Times New Roman" w:hAnsi="Arial" w:cs="Arial"/>
          <w:sz w:val="20"/>
          <w:szCs w:val="20"/>
          <w:lang w:eastAsia="cs-CZ"/>
        </w:rPr>
        <w:t>verze 1.2 platné od 20. 05. 2024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které jsou publikované a veřejně přístupné na webových stránkách </w:t>
      </w:r>
      <w:r w:rsidR="00DD02F8"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v sekci „dokumenty ke stažení“: </w:t>
      </w:r>
      <w:hyperlink r:id="rId19" w:history="1">
        <w:r w:rsidRPr="007670E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(dále jen „Obchodní podmínky“). Jednotlivá ujednání </w:t>
      </w:r>
      <w:r w:rsidR="00473FFF">
        <w:rPr>
          <w:rFonts w:ascii="Arial" w:eastAsia="Times New Roman" w:hAnsi="Arial" w:cs="Arial"/>
          <w:sz w:val="20"/>
          <w:szCs w:val="20"/>
          <w:lang w:eastAsia="cs-CZ"/>
        </w:rPr>
        <w:t>této 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mají vždy v případě rozporu s Obchodními podmínkami přednost a smluvní vztah se tedy bude vždy řídit prioritně ustanoveními </w:t>
      </w:r>
      <w:r w:rsidR="00473FFF">
        <w:rPr>
          <w:rFonts w:ascii="Arial" w:eastAsia="Times New Roman" w:hAnsi="Arial" w:cs="Arial"/>
          <w:sz w:val="20"/>
          <w:szCs w:val="20"/>
          <w:lang w:eastAsia="cs-CZ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7A39277" w14:textId="77777777" w:rsidR="00A30CBC" w:rsidRPr="009A16FF" w:rsidRDefault="00A30CBC" w:rsidP="000C3B3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lastRenderedPageBreak/>
        <w:t>T</w:t>
      </w:r>
      <w:r>
        <w:rPr>
          <w:rFonts w:ascii="Arial" w:hAnsi="Arial" w:cs="Arial"/>
          <w:sz w:val="20"/>
          <w:szCs w:val="20"/>
        </w:rPr>
        <w:t xml:space="preserve">uto </w:t>
      </w:r>
      <w:r w:rsidR="00473FFF">
        <w:rPr>
          <w:rFonts w:ascii="Arial" w:hAnsi="Arial" w:cs="Arial"/>
          <w:sz w:val="20"/>
          <w:szCs w:val="20"/>
        </w:rPr>
        <w:t>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29368692" w14:textId="77777777" w:rsidR="00A30CBC" w:rsidRPr="009A16FF" w:rsidRDefault="00A30CBC" w:rsidP="000C3B3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</w:t>
      </w:r>
      <w:proofErr w:type="spellStart"/>
      <w:r w:rsidRPr="009A16FF">
        <w:rPr>
          <w:rFonts w:ascii="Arial" w:hAnsi="Arial" w:cs="Arial"/>
          <w:sz w:val="20"/>
          <w:szCs w:val="20"/>
        </w:rPr>
        <w:t>ust</w:t>
      </w:r>
      <w:proofErr w:type="spellEnd"/>
      <w:r w:rsidRPr="009A16FF">
        <w:rPr>
          <w:rFonts w:ascii="Arial" w:hAnsi="Arial" w:cs="Arial"/>
          <w:sz w:val="20"/>
          <w:szCs w:val="20"/>
        </w:rPr>
        <w:t xml:space="preserve">. § 1765 odst. 2 </w:t>
      </w:r>
      <w:proofErr w:type="spellStart"/>
      <w:proofErr w:type="gram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  <w:proofErr w:type="gramEnd"/>
    </w:p>
    <w:p w14:paraId="2BD55061" w14:textId="77777777" w:rsidR="00A30CBC" w:rsidRDefault="00A30CBC" w:rsidP="000C3B3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31795BB3" w14:textId="22450A2E" w:rsidR="00A30CBC" w:rsidRPr="005B1C72" w:rsidRDefault="00A30CBC" w:rsidP="000C3B3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 w:rsidR="00DC69E5"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20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</w:t>
        </w:r>
        <w:r w:rsidR="00BB0E2B">
          <w:rPr>
            <w:rFonts w:ascii="Arial" w:hAnsi="Arial" w:cs="Arial"/>
            <w:sz w:val="20"/>
            <w:szCs w:val="20"/>
          </w:rPr>
          <w:t> </w:t>
        </w:r>
        <w:r w:rsidRPr="005B1C72">
          <w:rPr>
            <w:rFonts w:ascii="Arial" w:hAnsi="Arial" w:cs="Arial"/>
            <w:sz w:val="20"/>
            <w:szCs w:val="20"/>
          </w:rPr>
          <w:t>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</w:t>
      </w:r>
      <w:r w:rsidR="00ED30C8">
        <w:rPr>
          <w:rFonts w:ascii="Arial" w:hAnsi="Arial" w:cs="Arial"/>
          <w:sz w:val="20"/>
          <w:szCs w:val="20"/>
        </w:rPr>
        <w:t>em</w:t>
      </w:r>
      <w:r w:rsidRPr="005B1C72">
        <w:rPr>
          <w:rFonts w:ascii="Arial" w:hAnsi="Arial" w:cs="Arial"/>
          <w:sz w:val="20"/>
          <w:szCs w:val="20"/>
        </w:rPr>
        <w:t xml:space="preserve"> vnitra.</w:t>
      </w:r>
    </w:p>
    <w:p w14:paraId="17BFC04A" w14:textId="77777777" w:rsidR="00A30CBC" w:rsidRDefault="00A30CBC" w:rsidP="000C3B3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32409DB1" w14:textId="77777777" w:rsidR="00A30CBC" w:rsidRPr="00744F0E" w:rsidRDefault="00A30CBC" w:rsidP="000C3B3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</w:t>
      </w:r>
      <w:proofErr w:type="spellStart"/>
      <w:r w:rsidRPr="00F32A53">
        <w:rPr>
          <w:rFonts w:ascii="Arial" w:hAnsi="Arial" w:cs="Arial"/>
          <w:sz w:val="20"/>
          <w:szCs w:val="20"/>
        </w:rPr>
        <w:t>ust</w:t>
      </w:r>
      <w:proofErr w:type="spellEnd"/>
      <w:r w:rsidRPr="00F32A53">
        <w:rPr>
          <w:rFonts w:ascii="Arial" w:hAnsi="Arial" w:cs="Arial"/>
          <w:sz w:val="20"/>
          <w:szCs w:val="20"/>
        </w:rPr>
        <w:t>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 xml:space="preserve">m nejpozději do jednoho měsíce po </w:t>
      </w:r>
      <w:r w:rsidR="00473FFF" w:rsidRPr="00F32A53">
        <w:rPr>
          <w:rFonts w:ascii="Arial" w:hAnsi="Arial" w:cs="Arial"/>
          <w:sz w:val="20"/>
          <w:szCs w:val="20"/>
        </w:rPr>
        <w:t>je</w:t>
      </w:r>
      <w:r w:rsidR="00473FFF">
        <w:rPr>
          <w:rFonts w:ascii="Arial" w:hAnsi="Arial" w:cs="Arial"/>
          <w:sz w:val="20"/>
          <w:szCs w:val="20"/>
        </w:rPr>
        <w:t>jím</w:t>
      </w:r>
      <w:r w:rsidR="00473FFF" w:rsidRPr="00F32A53">
        <w:rPr>
          <w:rFonts w:ascii="Arial" w:hAnsi="Arial" w:cs="Arial"/>
          <w:sz w:val="20"/>
          <w:szCs w:val="20"/>
        </w:rPr>
        <w:t xml:space="preserve"> </w:t>
      </w:r>
      <w:r w:rsidRPr="00F32A53">
        <w:rPr>
          <w:rFonts w:ascii="Arial" w:hAnsi="Arial" w:cs="Arial"/>
          <w:sz w:val="20"/>
          <w:szCs w:val="20"/>
        </w:rPr>
        <w:t>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1518DA3B" w14:textId="1A029424" w:rsidR="00470B25" w:rsidRPr="00EC2C86" w:rsidRDefault="00470B25" w:rsidP="00470B25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470B25">
        <w:rPr>
          <w:rFonts w:ascii="Arial" w:hAnsi="Arial" w:cs="Arial"/>
          <w:sz w:val="20"/>
          <w:szCs w:val="20"/>
        </w:rPr>
        <w:t xml:space="preserve">Smlouva je vyhotovena v elektronické podobě a to se zaručenými elektronickými podpisy zástupců smluvních stran založenými na kvalifikovaném certifikátu. Po dohodě stran lze smlouvu podepsat i v listinné podobě, v tomto případě bude smlouva sepsána ve třech vyhotoveních, </w:t>
      </w:r>
      <w:r w:rsidRPr="00EC2C86">
        <w:rPr>
          <w:rFonts w:ascii="Arial" w:hAnsi="Arial" w:cs="Arial"/>
          <w:sz w:val="20"/>
          <w:szCs w:val="20"/>
        </w:rPr>
        <w:t xml:space="preserve">z nichž kupující obdrží dvě vyhotovení. Smluvní strany se současně dohodly, že pokud prodávající nedisponuje podpisem založeným na kvalifikovaném elektronickém certifikátu: </w:t>
      </w:r>
    </w:p>
    <w:p w14:paraId="6AE96197" w14:textId="1E3DE960" w:rsidR="00470B25" w:rsidRPr="00EC2C86" w:rsidRDefault="00470B25" w:rsidP="00470B25">
      <w:pPr>
        <w:pStyle w:val="rove2"/>
        <w:numPr>
          <w:ilvl w:val="0"/>
          <w:numId w:val="4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EC2C86">
        <w:rPr>
          <w:rFonts w:ascii="Arial" w:eastAsia="Arial" w:hAnsi="Arial" w:cs="Arial"/>
          <w:sz w:val="20"/>
          <w:szCs w:val="20"/>
        </w:rPr>
        <w:t xml:space="preserve">může být tato smlouva prodávajícím podepsána tak, že prodávající opatří vytištěnou smlouvu podpisem oprávněné osoby a následně podepsanou smlouvu opatří autorizovanou konverzí dokumentu do formátu PDF a zašle jej elektronicky kupujícímu (e-mailem nebo prostřednictvím datové schránky), </w:t>
      </w:r>
    </w:p>
    <w:p w14:paraId="73EE5BBA" w14:textId="6C6352AB" w:rsidR="00BF3E99" w:rsidRPr="00EC2C86" w:rsidRDefault="00470B25" w:rsidP="00470B25">
      <w:pPr>
        <w:pStyle w:val="rove2"/>
        <w:numPr>
          <w:ilvl w:val="0"/>
          <w:numId w:val="41"/>
        </w:numPr>
        <w:spacing w:line="276" w:lineRule="auto"/>
        <w:rPr>
          <w:rFonts w:ascii="Arial" w:hAnsi="Arial" w:cs="Arial"/>
          <w:sz w:val="20"/>
          <w:szCs w:val="20"/>
        </w:rPr>
      </w:pPr>
      <w:r w:rsidRPr="00EC2C86">
        <w:rPr>
          <w:rFonts w:ascii="Arial" w:eastAsia="Arial" w:hAnsi="Arial" w:cs="Arial"/>
          <w:sz w:val="20"/>
          <w:szCs w:val="20"/>
        </w:rPr>
        <w:t>nebo může být tato smlouva prodávajícím podepsána tak, že prodávající opatří vytištěnou smlouvu podpisem oprávněné osoby a následně podepsanou naskenovanou smlouvu zašle elektronicky kupujícímu (e-mailem nebo prostřednictvím datové schránky), zároveň však musí doložit i originálně podepsaný dokument a to buď osobně, nebo prostřednictvím poštovní přepravy na adresu sídla kupujícího</w:t>
      </w:r>
      <w:r w:rsidR="006B38C2" w:rsidRPr="00EC2C86">
        <w:rPr>
          <w:rFonts w:ascii="Arial" w:hAnsi="Arial" w:cs="Arial"/>
          <w:sz w:val="20"/>
          <w:szCs w:val="20"/>
        </w:rPr>
        <w:t xml:space="preserve">. </w:t>
      </w:r>
    </w:p>
    <w:p w14:paraId="1A41D2E7" w14:textId="3764CBBA" w:rsidR="00A30CBC" w:rsidRDefault="00A30CBC" w:rsidP="000C3B3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30E86C93" w14:textId="5778F9F6" w:rsidR="00E902BC" w:rsidRPr="00BF3E99" w:rsidRDefault="00E902BC" w:rsidP="000C3B3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902BC">
        <w:rPr>
          <w:rFonts w:ascii="Arial" w:hAnsi="Arial" w:cs="Arial"/>
          <w:sz w:val="20"/>
          <w:szCs w:val="20"/>
        </w:rPr>
        <w:t>Obě smluvní strany se zavazují vstoupit v jednání v případě, pokud dojde po dobu trvání smlouvy ke změně zákonných ustanovení týkajících se</w:t>
      </w:r>
      <w:r w:rsidR="00EC2C86">
        <w:rPr>
          <w:rFonts w:ascii="Arial" w:hAnsi="Arial" w:cs="Arial"/>
          <w:sz w:val="20"/>
          <w:szCs w:val="20"/>
        </w:rPr>
        <w:t xml:space="preserve"> plnění jiné BIO povinnosti než </w:t>
      </w:r>
      <w:r w:rsidRPr="00E902BC">
        <w:rPr>
          <w:rFonts w:ascii="Arial" w:hAnsi="Arial" w:cs="Arial"/>
          <w:sz w:val="20"/>
          <w:szCs w:val="20"/>
        </w:rPr>
        <w:t>uvedené</w:t>
      </w:r>
      <w:r>
        <w:rPr>
          <w:rFonts w:ascii="Arial" w:hAnsi="Arial" w:cs="Arial"/>
          <w:sz w:val="20"/>
          <w:szCs w:val="20"/>
        </w:rPr>
        <w:t xml:space="preserve"> v </w:t>
      </w:r>
      <w:proofErr w:type="gramStart"/>
      <w:r>
        <w:rPr>
          <w:rFonts w:ascii="Arial" w:hAnsi="Arial" w:cs="Arial"/>
          <w:sz w:val="20"/>
          <w:szCs w:val="20"/>
        </w:rPr>
        <w:t>čl.5 odst.</w:t>
      </w:r>
      <w:proofErr w:type="gramEnd"/>
      <w:r>
        <w:rPr>
          <w:rFonts w:ascii="Arial" w:hAnsi="Arial" w:cs="Arial"/>
          <w:sz w:val="20"/>
          <w:szCs w:val="20"/>
        </w:rPr>
        <w:t>5.1.</w:t>
      </w:r>
      <w:r w:rsidRPr="00E902BC">
        <w:rPr>
          <w:rFonts w:ascii="Arial" w:hAnsi="Arial" w:cs="Arial"/>
          <w:sz w:val="20"/>
          <w:szCs w:val="20"/>
        </w:rPr>
        <w:t xml:space="preserve">, a to pokud možno s předstihem před nabytím účinnosti nového zákonného rámce. Nedojde - </w:t>
      </w:r>
      <w:proofErr w:type="spellStart"/>
      <w:r w:rsidRPr="00E902BC">
        <w:rPr>
          <w:rFonts w:ascii="Arial" w:hAnsi="Arial" w:cs="Arial"/>
          <w:sz w:val="20"/>
          <w:szCs w:val="20"/>
        </w:rPr>
        <w:t>li</w:t>
      </w:r>
      <w:proofErr w:type="spellEnd"/>
      <w:r w:rsidRPr="00E902BC">
        <w:rPr>
          <w:rFonts w:ascii="Arial" w:hAnsi="Arial" w:cs="Arial"/>
          <w:sz w:val="20"/>
          <w:szCs w:val="20"/>
        </w:rPr>
        <w:t xml:space="preserve"> k takovému jednání nebo nedojde - </w:t>
      </w:r>
      <w:proofErr w:type="spellStart"/>
      <w:r w:rsidRPr="00E902BC">
        <w:rPr>
          <w:rFonts w:ascii="Arial" w:hAnsi="Arial" w:cs="Arial"/>
          <w:sz w:val="20"/>
          <w:szCs w:val="20"/>
        </w:rPr>
        <w:t>li</w:t>
      </w:r>
      <w:proofErr w:type="spellEnd"/>
      <w:r w:rsidRPr="00E902BC">
        <w:rPr>
          <w:rFonts w:ascii="Arial" w:hAnsi="Arial" w:cs="Arial"/>
          <w:sz w:val="20"/>
          <w:szCs w:val="20"/>
        </w:rPr>
        <w:t xml:space="preserve"> k dohodě smluvních stran přiměřeně zohledňující nový zákonný rámec, jsou smluvní strany oprávněny Smlouvu vypovědět nejdříve ke dni nabytí účinnosti příslušných nových zákonných ustanovení. Výpověď bude v takovém případě učiněna bez výpovědní lhůty a zaslána na adresu sídla příslušné smluvní strany</w:t>
      </w:r>
      <w:r>
        <w:rPr>
          <w:rFonts w:ascii="Arial" w:hAnsi="Arial" w:cs="Arial"/>
          <w:sz w:val="20"/>
          <w:szCs w:val="20"/>
        </w:rPr>
        <w:t>.</w:t>
      </w:r>
    </w:p>
    <w:p w14:paraId="6A44A3C9" w14:textId="45682261" w:rsidR="000C68F6" w:rsidRPr="001D669B" w:rsidRDefault="00F552FE" w:rsidP="000C3B3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D669B">
        <w:rPr>
          <w:rFonts w:ascii="Arial" w:eastAsia="Arial" w:hAnsi="Arial" w:cs="Arial"/>
          <w:color w:val="000000"/>
          <w:sz w:val="20"/>
          <w:szCs w:val="20"/>
        </w:rPr>
        <w:t>Smlouva je uzavřena dnem podpisu poslední smluvní strany a nabývá účinnosti dnem uzavření, pokud zvláštní právní předpis (zejm. zák. č. 340/2015 Sb.) nestanoví jinak</w:t>
      </w:r>
      <w:r w:rsidR="00A30CBC" w:rsidRPr="001D669B">
        <w:rPr>
          <w:rFonts w:ascii="Arial" w:hAnsi="Arial" w:cs="Arial"/>
          <w:sz w:val="20"/>
          <w:szCs w:val="20"/>
        </w:rPr>
        <w:t>.</w:t>
      </w:r>
    </w:p>
    <w:p w14:paraId="664C34E0" w14:textId="77777777" w:rsidR="002F4B1B" w:rsidRDefault="002F4B1B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149573EF" w14:textId="34301FA5" w:rsidR="001D45B6" w:rsidRDefault="001D45B6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FF5966">
        <w:rPr>
          <w:rFonts w:ascii="Arial" w:hAnsi="Arial" w:cs="Arial"/>
          <w:i/>
          <w:sz w:val="20"/>
          <w:szCs w:val="20"/>
        </w:rPr>
        <w:t>Příloha</w:t>
      </w:r>
      <w:r>
        <w:rPr>
          <w:rFonts w:ascii="Arial" w:hAnsi="Arial" w:cs="Arial"/>
          <w:i/>
          <w:sz w:val="20"/>
          <w:szCs w:val="20"/>
        </w:rPr>
        <w:t xml:space="preserve"> č. 1 – </w:t>
      </w:r>
      <w:r w:rsidR="0088183F">
        <w:rPr>
          <w:rFonts w:ascii="Arial" w:hAnsi="Arial" w:cs="Arial"/>
          <w:i/>
          <w:sz w:val="20"/>
          <w:szCs w:val="20"/>
        </w:rPr>
        <w:t>seznam míst plnění</w:t>
      </w:r>
      <w:r w:rsidR="003644AC">
        <w:rPr>
          <w:rFonts w:ascii="Arial" w:hAnsi="Arial" w:cs="Arial"/>
          <w:i/>
          <w:sz w:val="20"/>
          <w:szCs w:val="20"/>
        </w:rPr>
        <w:t xml:space="preserve"> a osob oprávněných k předání pokynu a převzetí materiálu</w:t>
      </w:r>
    </w:p>
    <w:p w14:paraId="7A5B087B" w14:textId="75EB7055" w:rsidR="00BF3E99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</w:p>
    <w:p w14:paraId="64415D32" w14:textId="77777777" w:rsidR="005C0CBC" w:rsidRPr="005C21F8" w:rsidRDefault="005C0CBC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</w:p>
    <w:p w14:paraId="11614308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lastRenderedPageBreak/>
        <w:t>kupující: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  <w:t>prodávající:</w:t>
      </w:r>
    </w:p>
    <w:p w14:paraId="5B55568E" w14:textId="77777777" w:rsidR="00BF3E99" w:rsidRPr="005C21F8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</w:p>
    <w:p w14:paraId="3ABB42B8" w14:textId="563C47A9" w:rsidR="00BF3E99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6195FDC7" w14:textId="77777777" w:rsidR="005C0CBC" w:rsidRPr="005C21F8" w:rsidRDefault="005C0CBC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3CFB65A2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1376DB0F" w14:textId="77777777" w:rsidR="00BF3E99" w:rsidRPr="005C21F8" w:rsidRDefault="00BF3E99" w:rsidP="00BF3E99">
      <w:pPr>
        <w:jc w:val="both"/>
        <w:rPr>
          <w:rFonts w:ascii="Arial" w:hAnsi="Arial" w:cs="Arial"/>
          <w:sz w:val="20"/>
          <w:szCs w:val="20"/>
        </w:rPr>
      </w:pPr>
      <w:r w:rsidRPr="005C21F8">
        <w:rPr>
          <w:rFonts w:ascii="Arial" w:hAnsi="Arial" w:cs="Arial"/>
          <w:sz w:val="20"/>
          <w:szCs w:val="20"/>
        </w:rPr>
        <w:t>___________________________</w:t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  <w:t>___________________________</w:t>
      </w:r>
    </w:p>
    <w:p w14:paraId="2A2BAC9B" w14:textId="04A41A62" w:rsidR="00564EDE" w:rsidRPr="00F35775" w:rsidRDefault="00BF3E99" w:rsidP="00564ED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C21F8">
        <w:rPr>
          <w:rFonts w:ascii="Arial" w:eastAsia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proofErr w:type="gramStart"/>
      <w:r w:rsidRPr="005C21F8">
        <w:rPr>
          <w:rFonts w:ascii="Arial" w:eastAsia="Arial" w:hAnsi="Arial" w:cs="Arial"/>
          <w:b/>
          <w:sz w:val="20"/>
          <w:szCs w:val="20"/>
        </w:rPr>
        <w:t>p.o</w:t>
      </w:r>
      <w:proofErr w:type="spellEnd"/>
      <w:r w:rsidRPr="005C21F8">
        <w:rPr>
          <w:rFonts w:ascii="Arial" w:eastAsia="Arial" w:hAnsi="Arial" w:cs="Arial"/>
          <w:sz w:val="20"/>
          <w:szCs w:val="20"/>
        </w:rPr>
        <w:t>.</w:t>
      </w:r>
      <w:proofErr w:type="gramEnd"/>
      <w:r w:rsidRPr="005C21F8">
        <w:rPr>
          <w:rFonts w:ascii="Arial" w:eastAsia="Arial" w:hAnsi="Arial" w:cs="Arial"/>
          <w:sz w:val="20"/>
          <w:szCs w:val="20"/>
        </w:rPr>
        <w:tab/>
      </w:r>
      <w:bookmarkStart w:id="6" w:name="Text56"/>
      <w:r w:rsidR="00564EDE">
        <w:rPr>
          <w:rFonts w:ascii="Arial" w:eastAsia="Arial" w:hAnsi="Arial" w:cs="Arial"/>
          <w:sz w:val="20"/>
          <w:szCs w:val="20"/>
        </w:rPr>
        <w:tab/>
      </w:r>
      <w:r w:rsidR="00564EDE" w:rsidRPr="004F5687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564EDE" w:rsidRPr="004F5687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564EDE" w:rsidRPr="004F5687">
        <w:rPr>
          <w:rFonts w:ascii="Arial" w:hAnsi="Arial" w:cs="Arial"/>
          <w:b/>
          <w:sz w:val="20"/>
          <w:szCs w:val="20"/>
          <w:highlight w:val="yellow"/>
        </w:rPr>
      </w:r>
      <w:r w:rsidR="00564EDE" w:rsidRPr="004F5687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564EDE" w:rsidRPr="004F5687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="00564EDE" w:rsidRPr="004F5687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68897B8A" w14:textId="5F7279BC" w:rsidR="00564EDE" w:rsidRDefault="00564EDE" w:rsidP="00F37D8C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FC5E52">
        <w:rPr>
          <w:rFonts w:ascii="Arial" w:hAnsi="Arial" w:cs="Arial"/>
          <w:sz w:val="20"/>
          <w:szCs w:val="20"/>
        </w:rPr>
        <w:t>Jiří Velíšek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5E52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ab/>
      </w:r>
      <w:r w:rsidRPr="001D157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oprávněná osoba"/>
              <w:format w:val="None"/>
            </w:textInput>
          </w:ffData>
        </w:fldChar>
      </w:r>
      <w:r w:rsidRPr="001D157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1D157D">
        <w:rPr>
          <w:rFonts w:ascii="Arial" w:hAnsi="Arial" w:cs="Arial"/>
          <w:sz w:val="20"/>
          <w:szCs w:val="20"/>
          <w:highlight w:val="yellow"/>
        </w:rPr>
      </w:r>
      <w:r w:rsidRPr="001D157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1D157D">
        <w:rPr>
          <w:rFonts w:ascii="Arial" w:hAnsi="Arial" w:cs="Arial"/>
          <w:noProof/>
          <w:sz w:val="20"/>
          <w:szCs w:val="20"/>
          <w:highlight w:val="yellow"/>
        </w:rPr>
        <w:t>oprávněná osoba</w:t>
      </w:r>
      <w:r w:rsidRPr="001D157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D55570A" w14:textId="56B5CF97" w:rsidR="00564EDE" w:rsidRPr="001E52A1" w:rsidRDefault="00F37D8C" w:rsidP="00F37D8C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37D8C">
        <w:rPr>
          <w:rFonts w:ascii="Arial" w:hAnsi="Arial" w:cs="Arial"/>
          <w:bCs/>
          <w:sz w:val="20"/>
          <w:szCs w:val="20"/>
        </w:rPr>
        <w:t>generální ředitel</w:t>
      </w:r>
      <w:r w:rsidR="00564EDE" w:rsidRPr="00F35775">
        <w:rPr>
          <w:rFonts w:ascii="Arial" w:hAnsi="Arial" w:cs="Arial"/>
          <w:bCs/>
          <w:sz w:val="20"/>
          <w:szCs w:val="20"/>
        </w:rPr>
        <w:tab/>
      </w:r>
      <w:r w:rsidR="00564EDE">
        <w:rPr>
          <w:rFonts w:ascii="Arial" w:hAnsi="Arial" w:cs="Arial"/>
          <w:bCs/>
          <w:sz w:val="20"/>
          <w:szCs w:val="20"/>
        </w:rPr>
        <w:tab/>
      </w:r>
      <w:r w:rsidR="00564EDE">
        <w:rPr>
          <w:rFonts w:ascii="Arial" w:hAnsi="Arial" w:cs="Arial"/>
          <w:bCs/>
          <w:sz w:val="20"/>
          <w:szCs w:val="20"/>
        </w:rPr>
        <w:tab/>
      </w:r>
      <w:r w:rsidR="00564EDE">
        <w:rPr>
          <w:rFonts w:ascii="Arial" w:hAnsi="Arial" w:cs="Arial"/>
          <w:bCs/>
          <w:sz w:val="20"/>
          <w:szCs w:val="20"/>
        </w:rPr>
        <w:tab/>
      </w:r>
      <w:r w:rsidR="00564EDE">
        <w:rPr>
          <w:rFonts w:ascii="Arial" w:hAnsi="Arial" w:cs="Arial"/>
          <w:bCs/>
          <w:sz w:val="20"/>
          <w:szCs w:val="20"/>
        </w:rPr>
        <w:tab/>
      </w:r>
      <w:r w:rsidR="00564EDE">
        <w:rPr>
          <w:rFonts w:ascii="Arial" w:hAnsi="Arial" w:cs="Arial"/>
          <w:bCs/>
          <w:sz w:val="20"/>
          <w:szCs w:val="20"/>
        </w:rPr>
        <w:tab/>
      </w:r>
      <w:r w:rsidR="00564EDE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funkce"/>
              <w:format w:val="None"/>
            </w:textInput>
          </w:ffData>
        </w:fldChar>
      </w:r>
      <w:r w:rsidR="00564EDE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564EDE">
        <w:rPr>
          <w:rFonts w:ascii="Arial" w:hAnsi="Arial" w:cs="Arial"/>
          <w:sz w:val="20"/>
          <w:szCs w:val="20"/>
          <w:highlight w:val="yellow"/>
        </w:rPr>
      </w:r>
      <w:r w:rsidR="00564EDE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564EDE">
        <w:rPr>
          <w:rFonts w:ascii="Arial" w:hAnsi="Arial" w:cs="Arial"/>
          <w:noProof/>
          <w:sz w:val="20"/>
          <w:szCs w:val="20"/>
          <w:highlight w:val="yellow"/>
        </w:rPr>
        <w:t>funkce</w:t>
      </w:r>
      <w:r w:rsidR="00564EDE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DF908C7" w14:textId="1655EE90" w:rsidR="00564EDE" w:rsidRPr="001C6270" w:rsidRDefault="00564EDE" w:rsidP="00F37D8C">
      <w:pPr>
        <w:pStyle w:val="rove2"/>
        <w:numPr>
          <w:ilvl w:val="0"/>
          <w:numId w:val="0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podepsáno elektronicky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podepsáno elektronicky</w:t>
      </w:r>
    </w:p>
    <w:p w14:paraId="32E425D7" w14:textId="54C9F99D" w:rsidR="00BF3E99" w:rsidRPr="005C21F8" w:rsidRDefault="00BF3E99" w:rsidP="00564EDE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End w:id="6"/>
    </w:p>
    <w:p w14:paraId="279CF136" w14:textId="0B1E6051" w:rsidR="007205CC" w:rsidRDefault="007205CC" w:rsidP="00643368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7" w:name="RANGE!A2:E63"/>
      <w:bookmarkStart w:id="8" w:name="RANGE!A2:E132"/>
      <w:bookmarkEnd w:id="7"/>
      <w:bookmarkEnd w:id="8"/>
    </w:p>
    <w:p w14:paraId="2761AF69" w14:textId="2158FC5A" w:rsidR="00EC2C86" w:rsidRDefault="00EC2C86" w:rsidP="0064336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DD5D69E" w14:textId="3AE5A7C0" w:rsidR="00EC2C86" w:rsidRDefault="00EC2C86" w:rsidP="0064336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D6C17E1" w14:textId="77777777" w:rsidR="00EC2C86" w:rsidRPr="00E755D2" w:rsidRDefault="00EC2C86" w:rsidP="00EC2C86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 administrativní správnost</w:t>
      </w:r>
      <w:r>
        <w:rPr>
          <w:rFonts w:ascii="Arial" w:eastAsia="Arial" w:hAnsi="Arial" w:cs="Arial"/>
          <w:sz w:val="20"/>
          <w:szCs w:val="20"/>
        </w:rPr>
        <w:t>:___________________________</w:t>
      </w:r>
    </w:p>
    <w:p w14:paraId="176146C5" w14:textId="77777777" w:rsidR="00EC2C86" w:rsidRPr="005C21F8" w:rsidRDefault="00EC2C86" w:rsidP="00643368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EC2C86" w:rsidRPr="005C21F8" w:rsidSect="00504BBF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99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FE49A" w14:textId="77777777" w:rsidR="00C32F52" w:rsidRDefault="00C32F52">
      <w:r>
        <w:separator/>
      </w:r>
    </w:p>
  </w:endnote>
  <w:endnote w:type="continuationSeparator" w:id="0">
    <w:p w14:paraId="2F890496" w14:textId="77777777" w:rsidR="00C32F52" w:rsidRDefault="00C3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D81" w14:textId="77777777" w:rsidR="007A45CC" w:rsidRDefault="007A45CC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DF0A9" w14:textId="77777777" w:rsidR="007A45CC" w:rsidRDefault="007A45CC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B7B" w14:textId="27CB39E7" w:rsidR="007A45CC" w:rsidRDefault="007A45CC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E0793C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E0793C">
      <w:rPr>
        <w:rFonts w:ascii="Arial" w:eastAsia="Arial" w:hAnsi="Arial" w:cs="Arial"/>
        <w:noProof/>
        <w:sz w:val="16"/>
        <w:szCs w:val="16"/>
      </w:rPr>
      <w:t>9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A4E" w14:textId="6BD5A365" w:rsidR="007A45CC" w:rsidRDefault="007A45CC" w:rsidP="00F04FCB">
    <w:pPr>
      <w:pStyle w:val="Zpat"/>
      <w:spacing w:before="240"/>
      <w:jc w:val="center"/>
    </w:pPr>
    <w:proofErr w:type="gramStart"/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proofErr w:type="gramEnd"/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B017F" w14:textId="77777777" w:rsidR="00C32F52" w:rsidRDefault="00C32F52">
      <w:r>
        <w:separator/>
      </w:r>
    </w:p>
  </w:footnote>
  <w:footnote w:type="continuationSeparator" w:id="0">
    <w:p w14:paraId="0281370C" w14:textId="77777777" w:rsidR="00C32F52" w:rsidRDefault="00C3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F43A" w14:textId="128EF23F" w:rsidR="007A45CC" w:rsidRPr="004F5388" w:rsidRDefault="00565E1E" w:rsidP="00504BBF">
    <w:pPr>
      <w:pStyle w:val="Zhlav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</w:t>
    </w:r>
    <w:r w:rsidR="007A45CC" w:rsidRPr="004F5388">
      <w:rPr>
        <w:rFonts w:ascii="Arial" w:hAnsi="Arial" w:cs="Arial"/>
        <w:i/>
        <w:sz w:val="18"/>
        <w:szCs w:val="18"/>
      </w:rPr>
      <w:t>říloha č. 2 Zadávací dokumentace – TOEL</w:t>
    </w:r>
    <w:hyperlink r:id="rId1" w:history="1">
      <w:r w:rsidR="007A45CC" w:rsidRPr="004F5388">
        <w:rPr>
          <w:rFonts w:ascii="Arial" w:hAnsi="Arial" w:cs="Arial"/>
          <w:i/>
          <w:sz w:val="18"/>
          <w:szCs w:val="18"/>
        </w:rPr>
        <w:t xml:space="preserve"> pro SÚSPK (202</w:t>
      </w:r>
      <w:r w:rsidR="00F37D8C">
        <w:rPr>
          <w:rFonts w:ascii="Arial" w:hAnsi="Arial" w:cs="Arial"/>
          <w:i/>
          <w:sz w:val="18"/>
          <w:szCs w:val="18"/>
        </w:rPr>
        <w:t>6</w:t>
      </w:r>
      <w:r w:rsidR="007A45CC" w:rsidRPr="004F5388">
        <w:rPr>
          <w:rFonts w:ascii="Arial" w:hAnsi="Arial" w:cs="Arial"/>
          <w:i/>
          <w:sz w:val="18"/>
          <w:szCs w:val="18"/>
        </w:rPr>
        <w:t>)</w:t>
      </w:r>
    </w:hyperlink>
    <w:r w:rsidR="007A45CC" w:rsidRPr="004F5388">
      <w:rPr>
        <w:rFonts w:ascii="Arial" w:hAnsi="Arial" w:cs="Arial"/>
        <w:i/>
        <w:sz w:val="18"/>
        <w:szCs w:val="18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DFF7" w14:textId="77777777" w:rsidR="007A45CC" w:rsidRDefault="007A45CC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4227B0"/>
    <w:multiLevelType w:val="multilevel"/>
    <w:tmpl w:val="FEE06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2F0A"/>
    <w:multiLevelType w:val="hybridMultilevel"/>
    <w:tmpl w:val="ADB47EB6"/>
    <w:lvl w:ilvl="0" w:tplc="7D2ECA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8F66B85C" w:tentative="1">
      <w:start w:val="1"/>
      <w:numFmt w:val="lowerLetter"/>
      <w:lvlText w:val="%2."/>
      <w:lvlJc w:val="left"/>
      <w:pPr>
        <w:ind w:left="1506" w:hanging="360"/>
      </w:pPr>
    </w:lvl>
    <w:lvl w:ilvl="2" w:tplc="379014B2" w:tentative="1">
      <w:start w:val="1"/>
      <w:numFmt w:val="lowerRoman"/>
      <w:lvlText w:val="%3."/>
      <w:lvlJc w:val="right"/>
      <w:pPr>
        <w:ind w:left="2226" w:hanging="180"/>
      </w:pPr>
    </w:lvl>
    <w:lvl w:ilvl="3" w:tplc="5A144220" w:tentative="1">
      <w:start w:val="1"/>
      <w:numFmt w:val="decimal"/>
      <w:lvlText w:val="%4."/>
      <w:lvlJc w:val="left"/>
      <w:pPr>
        <w:ind w:left="2946" w:hanging="360"/>
      </w:pPr>
    </w:lvl>
    <w:lvl w:ilvl="4" w:tplc="20DABBFC" w:tentative="1">
      <w:start w:val="1"/>
      <w:numFmt w:val="lowerLetter"/>
      <w:lvlText w:val="%5."/>
      <w:lvlJc w:val="left"/>
      <w:pPr>
        <w:ind w:left="3666" w:hanging="360"/>
      </w:pPr>
    </w:lvl>
    <w:lvl w:ilvl="5" w:tplc="51327E06" w:tentative="1">
      <w:start w:val="1"/>
      <w:numFmt w:val="lowerRoman"/>
      <w:lvlText w:val="%6."/>
      <w:lvlJc w:val="right"/>
      <w:pPr>
        <w:ind w:left="4386" w:hanging="180"/>
      </w:pPr>
    </w:lvl>
    <w:lvl w:ilvl="6" w:tplc="2F8684BC" w:tentative="1">
      <w:start w:val="1"/>
      <w:numFmt w:val="decimal"/>
      <w:lvlText w:val="%7."/>
      <w:lvlJc w:val="left"/>
      <w:pPr>
        <w:ind w:left="5106" w:hanging="360"/>
      </w:pPr>
    </w:lvl>
    <w:lvl w:ilvl="7" w:tplc="BBB83636" w:tentative="1">
      <w:start w:val="1"/>
      <w:numFmt w:val="lowerLetter"/>
      <w:lvlText w:val="%8."/>
      <w:lvlJc w:val="left"/>
      <w:pPr>
        <w:ind w:left="5826" w:hanging="360"/>
      </w:pPr>
    </w:lvl>
    <w:lvl w:ilvl="8" w:tplc="18EA46D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557A"/>
    <w:multiLevelType w:val="hybridMultilevel"/>
    <w:tmpl w:val="F288FFAC"/>
    <w:lvl w:ilvl="0" w:tplc="4A7CD1B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16981B9A" w:tentative="1">
      <w:start w:val="1"/>
      <w:numFmt w:val="lowerLetter"/>
      <w:lvlText w:val="%2."/>
      <w:lvlJc w:val="left"/>
      <w:pPr>
        <w:ind w:left="1505" w:hanging="360"/>
      </w:pPr>
    </w:lvl>
    <w:lvl w:ilvl="2" w:tplc="3A58BF1E" w:tentative="1">
      <w:start w:val="1"/>
      <w:numFmt w:val="lowerRoman"/>
      <w:lvlText w:val="%3."/>
      <w:lvlJc w:val="right"/>
      <w:pPr>
        <w:ind w:left="2225" w:hanging="180"/>
      </w:pPr>
    </w:lvl>
    <w:lvl w:ilvl="3" w:tplc="571AE5DE" w:tentative="1">
      <w:start w:val="1"/>
      <w:numFmt w:val="decimal"/>
      <w:lvlText w:val="%4."/>
      <w:lvlJc w:val="left"/>
      <w:pPr>
        <w:ind w:left="2945" w:hanging="360"/>
      </w:pPr>
    </w:lvl>
    <w:lvl w:ilvl="4" w:tplc="19C6033E" w:tentative="1">
      <w:start w:val="1"/>
      <w:numFmt w:val="lowerLetter"/>
      <w:lvlText w:val="%5."/>
      <w:lvlJc w:val="left"/>
      <w:pPr>
        <w:ind w:left="3665" w:hanging="360"/>
      </w:pPr>
    </w:lvl>
    <w:lvl w:ilvl="5" w:tplc="C9348D88" w:tentative="1">
      <w:start w:val="1"/>
      <w:numFmt w:val="lowerRoman"/>
      <w:lvlText w:val="%6."/>
      <w:lvlJc w:val="right"/>
      <w:pPr>
        <w:ind w:left="4385" w:hanging="180"/>
      </w:pPr>
    </w:lvl>
    <w:lvl w:ilvl="6" w:tplc="1EF4C79A" w:tentative="1">
      <w:start w:val="1"/>
      <w:numFmt w:val="decimal"/>
      <w:lvlText w:val="%7."/>
      <w:lvlJc w:val="left"/>
      <w:pPr>
        <w:ind w:left="5105" w:hanging="360"/>
      </w:pPr>
    </w:lvl>
    <w:lvl w:ilvl="7" w:tplc="0B287588" w:tentative="1">
      <w:start w:val="1"/>
      <w:numFmt w:val="lowerLetter"/>
      <w:lvlText w:val="%8."/>
      <w:lvlJc w:val="left"/>
      <w:pPr>
        <w:ind w:left="5825" w:hanging="360"/>
      </w:pPr>
    </w:lvl>
    <w:lvl w:ilvl="8" w:tplc="416ADF94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B7333E5"/>
    <w:multiLevelType w:val="hybridMultilevel"/>
    <w:tmpl w:val="0A001B98"/>
    <w:lvl w:ilvl="0" w:tplc="C29A488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59B0485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3CE2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512EC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C8D6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BF883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86CC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7A5E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3ED0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D76EB3"/>
    <w:multiLevelType w:val="hybridMultilevel"/>
    <w:tmpl w:val="14ECF31A"/>
    <w:lvl w:ilvl="0" w:tplc="A3220264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 w:tplc="34EA5A4C">
      <w:start w:val="1"/>
      <w:numFmt w:val="lowerLetter"/>
      <w:lvlText w:val="%2."/>
      <w:lvlJc w:val="left"/>
      <w:pPr>
        <w:ind w:left="2160" w:hanging="360"/>
      </w:pPr>
    </w:lvl>
    <w:lvl w:ilvl="2" w:tplc="A34C2AE8">
      <w:start w:val="1"/>
      <w:numFmt w:val="lowerRoman"/>
      <w:lvlText w:val="%3."/>
      <w:lvlJc w:val="right"/>
      <w:pPr>
        <w:ind w:left="2880" w:hanging="180"/>
      </w:pPr>
    </w:lvl>
    <w:lvl w:ilvl="3" w:tplc="807ED382">
      <w:start w:val="1"/>
      <w:numFmt w:val="decimal"/>
      <w:lvlText w:val="%4."/>
      <w:lvlJc w:val="left"/>
      <w:pPr>
        <w:ind w:left="3600" w:hanging="360"/>
      </w:pPr>
    </w:lvl>
    <w:lvl w:ilvl="4" w:tplc="B204DF0A">
      <w:start w:val="1"/>
      <w:numFmt w:val="lowerLetter"/>
      <w:lvlText w:val="%5."/>
      <w:lvlJc w:val="left"/>
      <w:pPr>
        <w:ind w:left="4320" w:hanging="360"/>
      </w:pPr>
    </w:lvl>
    <w:lvl w:ilvl="5" w:tplc="412EFA1C">
      <w:start w:val="1"/>
      <w:numFmt w:val="lowerRoman"/>
      <w:lvlText w:val="%6."/>
      <w:lvlJc w:val="right"/>
      <w:pPr>
        <w:ind w:left="5040" w:hanging="180"/>
      </w:pPr>
    </w:lvl>
    <w:lvl w:ilvl="6" w:tplc="994ED5DC">
      <w:start w:val="1"/>
      <w:numFmt w:val="decimal"/>
      <w:lvlText w:val="%7."/>
      <w:lvlJc w:val="left"/>
      <w:pPr>
        <w:ind w:left="5760" w:hanging="360"/>
      </w:pPr>
    </w:lvl>
    <w:lvl w:ilvl="7" w:tplc="113A61F6">
      <w:start w:val="1"/>
      <w:numFmt w:val="lowerLetter"/>
      <w:lvlText w:val="%8."/>
      <w:lvlJc w:val="left"/>
      <w:pPr>
        <w:ind w:left="6480" w:hanging="360"/>
      </w:pPr>
    </w:lvl>
    <w:lvl w:ilvl="8" w:tplc="A10E443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E65C0D"/>
    <w:multiLevelType w:val="hybridMultilevel"/>
    <w:tmpl w:val="ADB47EB6"/>
    <w:lvl w:ilvl="0" w:tplc="7D2ECA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8F66B85C" w:tentative="1">
      <w:start w:val="1"/>
      <w:numFmt w:val="lowerLetter"/>
      <w:lvlText w:val="%2."/>
      <w:lvlJc w:val="left"/>
      <w:pPr>
        <w:ind w:left="1506" w:hanging="360"/>
      </w:pPr>
    </w:lvl>
    <w:lvl w:ilvl="2" w:tplc="379014B2" w:tentative="1">
      <w:start w:val="1"/>
      <w:numFmt w:val="lowerRoman"/>
      <w:lvlText w:val="%3."/>
      <w:lvlJc w:val="right"/>
      <w:pPr>
        <w:ind w:left="2226" w:hanging="180"/>
      </w:pPr>
    </w:lvl>
    <w:lvl w:ilvl="3" w:tplc="5A144220" w:tentative="1">
      <w:start w:val="1"/>
      <w:numFmt w:val="decimal"/>
      <w:lvlText w:val="%4."/>
      <w:lvlJc w:val="left"/>
      <w:pPr>
        <w:ind w:left="2946" w:hanging="360"/>
      </w:pPr>
    </w:lvl>
    <w:lvl w:ilvl="4" w:tplc="20DABBFC" w:tentative="1">
      <w:start w:val="1"/>
      <w:numFmt w:val="lowerLetter"/>
      <w:lvlText w:val="%5."/>
      <w:lvlJc w:val="left"/>
      <w:pPr>
        <w:ind w:left="3666" w:hanging="360"/>
      </w:pPr>
    </w:lvl>
    <w:lvl w:ilvl="5" w:tplc="51327E06" w:tentative="1">
      <w:start w:val="1"/>
      <w:numFmt w:val="lowerRoman"/>
      <w:lvlText w:val="%6."/>
      <w:lvlJc w:val="right"/>
      <w:pPr>
        <w:ind w:left="4386" w:hanging="180"/>
      </w:pPr>
    </w:lvl>
    <w:lvl w:ilvl="6" w:tplc="2F8684BC" w:tentative="1">
      <w:start w:val="1"/>
      <w:numFmt w:val="decimal"/>
      <w:lvlText w:val="%7."/>
      <w:lvlJc w:val="left"/>
      <w:pPr>
        <w:ind w:left="5106" w:hanging="360"/>
      </w:pPr>
    </w:lvl>
    <w:lvl w:ilvl="7" w:tplc="BBB83636" w:tentative="1">
      <w:start w:val="1"/>
      <w:numFmt w:val="lowerLetter"/>
      <w:lvlText w:val="%8."/>
      <w:lvlJc w:val="left"/>
      <w:pPr>
        <w:ind w:left="5826" w:hanging="360"/>
      </w:pPr>
    </w:lvl>
    <w:lvl w:ilvl="8" w:tplc="18EA46D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F6330E"/>
    <w:multiLevelType w:val="multilevel"/>
    <w:tmpl w:val="C8BE9F14"/>
    <w:lvl w:ilvl="0">
      <w:start w:val="12"/>
      <w:numFmt w:val="decimal"/>
      <w:lvlText w:val="%1."/>
      <w:lvlJc w:val="left"/>
      <w:pPr>
        <w:ind w:left="444" w:hanging="444"/>
      </w:pPr>
    </w:lvl>
    <w:lvl w:ilvl="1">
      <w:start w:val="1"/>
      <w:numFmt w:val="bullet"/>
      <w:lvlText w:val=""/>
      <w:lvlJc w:val="left"/>
      <w:pPr>
        <w:ind w:left="2146" w:hanging="4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1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A62236D"/>
    <w:multiLevelType w:val="multilevel"/>
    <w:tmpl w:val="A470E1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F1A307B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38583C58"/>
    <w:multiLevelType w:val="hybridMultilevel"/>
    <w:tmpl w:val="7048D6F4"/>
    <w:lvl w:ilvl="0" w:tplc="0300612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55873CC"/>
    <w:multiLevelType w:val="hybridMultilevel"/>
    <w:tmpl w:val="8E5E0F26"/>
    <w:lvl w:ilvl="0" w:tplc="76809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6AE48C5"/>
    <w:multiLevelType w:val="multilevel"/>
    <w:tmpl w:val="F28A1F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82E484A"/>
    <w:multiLevelType w:val="hybridMultilevel"/>
    <w:tmpl w:val="5714F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40CC7"/>
    <w:multiLevelType w:val="hybridMultilevel"/>
    <w:tmpl w:val="8330551C"/>
    <w:lvl w:ilvl="0" w:tplc="0602B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B5FC" w:tentative="1">
      <w:start w:val="1"/>
      <w:numFmt w:val="lowerLetter"/>
      <w:lvlText w:val="%2."/>
      <w:lvlJc w:val="left"/>
      <w:pPr>
        <w:ind w:left="1440" w:hanging="360"/>
      </w:pPr>
    </w:lvl>
    <w:lvl w:ilvl="2" w:tplc="026650C6">
      <w:start w:val="1"/>
      <w:numFmt w:val="lowerRoman"/>
      <w:lvlText w:val="%3."/>
      <w:lvlJc w:val="right"/>
      <w:pPr>
        <w:ind w:left="2160" w:hanging="180"/>
      </w:pPr>
    </w:lvl>
    <w:lvl w:ilvl="3" w:tplc="52563A9C" w:tentative="1">
      <w:start w:val="1"/>
      <w:numFmt w:val="decimal"/>
      <w:lvlText w:val="%4."/>
      <w:lvlJc w:val="left"/>
      <w:pPr>
        <w:ind w:left="2880" w:hanging="360"/>
      </w:pPr>
    </w:lvl>
    <w:lvl w:ilvl="4" w:tplc="EA02E20A" w:tentative="1">
      <w:start w:val="1"/>
      <w:numFmt w:val="lowerLetter"/>
      <w:lvlText w:val="%5."/>
      <w:lvlJc w:val="left"/>
      <w:pPr>
        <w:ind w:left="3600" w:hanging="360"/>
      </w:pPr>
    </w:lvl>
    <w:lvl w:ilvl="5" w:tplc="5756D304" w:tentative="1">
      <w:start w:val="1"/>
      <w:numFmt w:val="lowerRoman"/>
      <w:lvlText w:val="%6."/>
      <w:lvlJc w:val="right"/>
      <w:pPr>
        <w:ind w:left="4320" w:hanging="180"/>
      </w:pPr>
    </w:lvl>
    <w:lvl w:ilvl="6" w:tplc="025CF000" w:tentative="1">
      <w:start w:val="1"/>
      <w:numFmt w:val="decimal"/>
      <w:lvlText w:val="%7."/>
      <w:lvlJc w:val="left"/>
      <w:pPr>
        <w:ind w:left="5040" w:hanging="360"/>
      </w:pPr>
    </w:lvl>
    <w:lvl w:ilvl="7" w:tplc="F230B8CE" w:tentative="1">
      <w:start w:val="1"/>
      <w:numFmt w:val="lowerLetter"/>
      <w:lvlText w:val="%8."/>
      <w:lvlJc w:val="left"/>
      <w:pPr>
        <w:ind w:left="5760" w:hanging="360"/>
      </w:pPr>
    </w:lvl>
    <w:lvl w:ilvl="8" w:tplc="5768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A6C18D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569023E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28"/>
  </w:num>
  <w:num w:numId="5">
    <w:abstractNumId w:val="11"/>
  </w:num>
  <w:num w:numId="6">
    <w:abstractNumId w:val="13"/>
  </w:num>
  <w:num w:numId="7">
    <w:abstractNumId w:val="23"/>
  </w:num>
  <w:num w:numId="8">
    <w:abstractNumId w:val="27"/>
  </w:num>
  <w:num w:numId="9">
    <w:abstractNumId w:val="17"/>
  </w:num>
  <w:num w:numId="10">
    <w:abstractNumId w:val="20"/>
  </w:num>
  <w:num w:numId="11">
    <w:abstractNumId w:val="16"/>
  </w:num>
  <w:num w:numId="12">
    <w:abstractNumId w:val="25"/>
  </w:num>
  <w:num w:numId="13">
    <w:abstractNumId w:val="26"/>
  </w:num>
  <w:num w:numId="14">
    <w:abstractNumId w:val="30"/>
  </w:num>
  <w:num w:numId="15">
    <w:abstractNumId w:val="15"/>
  </w:num>
  <w:num w:numId="16">
    <w:abstractNumId w:val="21"/>
  </w:num>
  <w:num w:numId="17">
    <w:abstractNumId w:val="19"/>
  </w:num>
  <w:num w:numId="18">
    <w:abstractNumId w:val="2"/>
  </w:num>
  <w:num w:numId="19">
    <w:abstractNumId w:val="29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</w:num>
  <w:num w:numId="29">
    <w:abstractNumId w:val="18"/>
  </w:num>
  <w:num w:numId="30">
    <w:abstractNumId w:val="5"/>
  </w:num>
  <w:num w:numId="31">
    <w:abstractNumId w:val="7"/>
  </w:num>
  <w:num w:numId="32">
    <w:abstractNumId w:val="4"/>
  </w:num>
  <w:num w:numId="33">
    <w:abstractNumId w:val="9"/>
  </w:num>
  <w:num w:numId="34">
    <w:abstractNumId w:val="22"/>
  </w:num>
  <w:num w:numId="35">
    <w:abstractNumId w:val="12"/>
  </w:num>
  <w:num w:numId="36">
    <w:abstractNumId w:val="2"/>
  </w:num>
  <w:num w:numId="37">
    <w:abstractNumId w:val="1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10"/>
    <w:lvlOverride w:ilvl="0">
      <w:startOverride w:val="1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2482"/>
    <w:rsid w:val="00002724"/>
    <w:rsid w:val="00002A69"/>
    <w:rsid w:val="00003720"/>
    <w:rsid w:val="00007CBB"/>
    <w:rsid w:val="00011B71"/>
    <w:rsid w:val="00015B00"/>
    <w:rsid w:val="00015E82"/>
    <w:rsid w:val="00022442"/>
    <w:rsid w:val="000250E5"/>
    <w:rsid w:val="00025B93"/>
    <w:rsid w:val="000306DE"/>
    <w:rsid w:val="0003488C"/>
    <w:rsid w:val="00035586"/>
    <w:rsid w:val="000373E5"/>
    <w:rsid w:val="00045F2B"/>
    <w:rsid w:val="00056CC6"/>
    <w:rsid w:val="00057078"/>
    <w:rsid w:val="000700DC"/>
    <w:rsid w:val="00070B7E"/>
    <w:rsid w:val="0007515C"/>
    <w:rsid w:val="000813AB"/>
    <w:rsid w:val="0008328F"/>
    <w:rsid w:val="00083348"/>
    <w:rsid w:val="00083F13"/>
    <w:rsid w:val="000859CE"/>
    <w:rsid w:val="00091D55"/>
    <w:rsid w:val="00095189"/>
    <w:rsid w:val="000952C5"/>
    <w:rsid w:val="000A4F57"/>
    <w:rsid w:val="000A4F7A"/>
    <w:rsid w:val="000A6BFE"/>
    <w:rsid w:val="000B038B"/>
    <w:rsid w:val="000B25F7"/>
    <w:rsid w:val="000B5923"/>
    <w:rsid w:val="000C3253"/>
    <w:rsid w:val="000C3B3B"/>
    <w:rsid w:val="000C63E0"/>
    <w:rsid w:val="000C68F6"/>
    <w:rsid w:val="000D0855"/>
    <w:rsid w:val="000D1757"/>
    <w:rsid w:val="000D50F6"/>
    <w:rsid w:val="000E406C"/>
    <w:rsid w:val="000E5ED5"/>
    <w:rsid w:val="000E5F3B"/>
    <w:rsid w:val="000F1FEF"/>
    <w:rsid w:val="001006F3"/>
    <w:rsid w:val="00100856"/>
    <w:rsid w:val="00105355"/>
    <w:rsid w:val="00106553"/>
    <w:rsid w:val="001076CE"/>
    <w:rsid w:val="00111448"/>
    <w:rsid w:val="00112A42"/>
    <w:rsid w:val="00116298"/>
    <w:rsid w:val="0011705E"/>
    <w:rsid w:val="00117D69"/>
    <w:rsid w:val="001217D1"/>
    <w:rsid w:val="001233B4"/>
    <w:rsid w:val="00136E39"/>
    <w:rsid w:val="00137C9D"/>
    <w:rsid w:val="0014399B"/>
    <w:rsid w:val="0014447A"/>
    <w:rsid w:val="00146EA5"/>
    <w:rsid w:val="001511C0"/>
    <w:rsid w:val="00153B70"/>
    <w:rsid w:val="00164FC8"/>
    <w:rsid w:val="00167AB5"/>
    <w:rsid w:val="00172B6E"/>
    <w:rsid w:val="001756B9"/>
    <w:rsid w:val="00183499"/>
    <w:rsid w:val="00185D32"/>
    <w:rsid w:val="001864C3"/>
    <w:rsid w:val="00195B58"/>
    <w:rsid w:val="001A03F6"/>
    <w:rsid w:val="001A0949"/>
    <w:rsid w:val="001A72CA"/>
    <w:rsid w:val="001A7A6A"/>
    <w:rsid w:val="001A7C42"/>
    <w:rsid w:val="001D157D"/>
    <w:rsid w:val="001D1B77"/>
    <w:rsid w:val="001D45B6"/>
    <w:rsid w:val="001D669B"/>
    <w:rsid w:val="001E1D5F"/>
    <w:rsid w:val="001E52A1"/>
    <w:rsid w:val="001E6FE5"/>
    <w:rsid w:val="001E7952"/>
    <w:rsid w:val="001F4380"/>
    <w:rsid w:val="001F478A"/>
    <w:rsid w:val="00205562"/>
    <w:rsid w:val="0020767C"/>
    <w:rsid w:val="0021796F"/>
    <w:rsid w:val="00217A56"/>
    <w:rsid w:val="00220B2C"/>
    <w:rsid w:val="00220C0C"/>
    <w:rsid w:val="00224218"/>
    <w:rsid w:val="00224374"/>
    <w:rsid w:val="0024309C"/>
    <w:rsid w:val="00243290"/>
    <w:rsid w:val="002441C0"/>
    <w:rsid w:val="002445EB"/>
    <w:rsid w:val="00244F81"/>
    <w:rsid w:val="002517E1"/>
    <w:rsid w:val="00256DB4"/>
    <w:rsid w:val="002611AA"/>
    <w:rsid w:val="0026311C"/>
    <w:rsid w:val="002733BD"/>
    <w:rsid w:val="0027664B"/>
    <w:rsid w:val="00290427"/>
    <w:rsid w:val="00293210"/>
    <w:rsid w:val="00293295"/>
    <w:rsid w:val="002A02F3"/>
    <w:rsid w:val="002A10B6"/>
    <w:rsid w:val="002A6EE4"/>
    <w:rsid w:val="002B1281"/>
    <w:rsid w:val="002B2AAC"/>
    <w:rsid w:val="002B4FF7"/>
    <w:rsid w:val="002C0B10"/>
    <w:rsid w:val="002C112E"/>
    <w:rsid w:val="002C40D1"/>
    <w:rsid w:val="002C64E3"/>
    <w:rsid w:val="002D36CE"/>
    <w:rsid w:val="002D5C25"/>
    <w:rsid w:val="002D7AAD"/>
    <w:rsid w:val="002D7DF7"/>
    <w:rsid w:val="002E180A"/>
    <w:rsid w:val="002E1F0C"/>
    <w:rsid w:val="002E31D1"/>
    <w:rsid w:val="002E7A58"/>
    <w:rsid w:val="002E7FD2"/>
    <w:rsid w:val="002F084A"/>
    <w:rsid w:val="002F175E"/>
    <w:rsid w:val="002F4B1B"/>
    <w:rsid w:val="00305A7C"/>
    <w:rsid w:val="00307905"/>
    <w:rsid w:val="00312694"/>
    <w:rsid w:val="0031270F"/>
    <w:rsid w:val="003169A6"/>
    <w:rsid w:val="0032316D"/>
    <w:rsid w:val="00325BF0"/>
    <w:rsid w:val="00326BA1"/>
    <w:rsid w:val="0033005A"/>
    <w:rsid w:val="00330F33"/>
    <w:rsid w:val="00345776"/>
    <w:rsid w:val="00346E3E"/>
    <w:rsid w:val="00354946"/>
    <w:rsid w:val="00360424"/>
    <w:rsid w:val="00363B85"/>
    <w:rsid w:val="003644AC"/>
    <w:rsid w:val="003665A9"/>
    <w:rsid w:val="00370E44"/>
    <w:rsid w:val="00372F6A"/>
    <w:rsid w:val="003777AE"/>
    <w:rsid w:val="003777C2"/>
    <w:rsid w:val="00381D52"/>
    <w:rsid w:val="00387D3C"/>
    <w:rsid w:val="00391386"/>
    <w:rsid w:val="00391698"/>
    <w:rsid w:val="00392ED6"/>
    <w:rsid w:val="00394075"/>
    <w:rsid w:val="00396754"/>
    <w:rsid w:val="00397B18"/>
    <w:rsid w:val="003A4F20"/>
    <w:rsid w:val="003A6059"/>
    <w:rsid w:val="003A6C40"/>
    <w:rsid w:val="003A72B1"/>
    <w:rsid w:val="003B0B40"/>
    <w:rsid w:val="003B25CD"/>
    <w:rsid w:val="003B2EF2"/>
    <w:rsid w:val="003B34BA"/>
    <w:rsid w:val="003B53FA"/>
    <w:rsid w:val="003B6952"/>
    <w:rsid w:val="003C0107"/>
    <w:rsid w:val="003C08EC"/>
    <w:rsid w:val="003C202D"/>
    <w:rsid w:val="003C2701"/>
    <w:rsid w:val="003D4F76"/>
    <w:rsid w:val="003E7A9F"/>
    <w:rsid w:val="003F25D9"/>
    <w:rsid w:val="003F299D"/>
    <w:rsid w:val="003F3EB8"/>
    <w:rsid w:val="003F4DF7"/>
    <w:rsid w:val="003F5522"/>
    <w:rsid w:val="003F69E9"/>
    <w:rsid w:val="00401A75"/>
    <w:rsid w:val="004105A5"/>
    <w:rsid w:val="004118A0"/>
    <w:rsid w:val="004129A8"/>
    <w:rsid w:val="004262CD"/>
    <w:rsid w:val="00427994"/>
    <w:rsid w:val="004312F7"/>
    <w:rsid w:val="00431300"/>
    <w:rsid w:val="00431377"/>
    <w:rsid w:val="00431A0D"/>
    <w:rsid w:val="00434E0D"/>
    <w:rsid w:val="0043571B"/>
    <w:rsid w:val="00436A2D"/>
    <w:rsid w:val="004372EB"/>
    <w:rsid w:val="004444FA"/>
    <w:rsid w:val="00444BC7"/>
    <w:rsid w:val="00444F20"/>
    <w:rsid w:val="00452FDB"/>
    <w:rsid w:val="0045304C"/>
    <w:rsid w:val="00453588"/>
    <w:rsid w:val="004553CB"/>
    <w:rsid w:val="00457B61"/>
    <w:rsid w:val="00461B03"/>
    <w:rsid w:val="004624B2"/>
    <w:rsid w:val="00463043"/>
    <w:rsid w:val="00464408"/>
    <w:rsid w:val="00464444"/>
    <w:rsid w:val="00465E22"/>
    <w:rsid w:val="00470B25"/>
    <w:rsid w:val="00473FFF"/>
    <w:rsid w:val="004811E7"/>
    <w:rsid w:val="00481680"/>
    <w:rsid w:val="00486EB5"/>
    <w:rsid w:val="00491C06"/>
    <w:rsid w:val="00492DB7"/>
    <w:rsid w:val="004937C3"/>
    <w:rsid w:val="00494604"/>
    <w:rsid w:val="00495AA8"/>
    <w:rsid w:val="004A44FC"/>
    <w:rsid w:val="004A48EE"/>
    <w:rsid w:val="004B03F5"/>
    <w:rsid w:val="004B1D26"/>
    <w:rsid w:val="004B3BC2"/>
    <w:rsid w:val="004B4292"/>
    <w:rsid w:val="004C5CA8"/>
    <w:rsid w:val="004C67B3"/>
    <w:rsid w:val="004C76F8"/>
    <w:rsid w:val="004D0833"/>
    <w:rsid w:val="004D163B"/>
    <w:rsid w:val="004E1DF7"/>
    <w:rsid w:val="004E7757"/>
    <w:rsid w:val="004E790F"/>
    <w:rsid w:val="004F03BE"/>
    <w:rsid w:val="004F246F"/>
    <w:rsid w:val="004F4784"/>
    <w:rsid w:val="004F5388"/>
    <w:rsid w:val="004F5D1A"/>
    <w:rsid w:val="004F7C99"/>
    <w:rsid w:val="00500DD8"/>
    <w:rsid w:val="00503757"/>
    <w:rsid w:val="00504BBF"/>
    <w:rsid w:val="00510934"/>
    <w:rsid w:val="00510CC4"/>
    <w:rsid w:val="005122AB"/>
    <w:rsid w:val="00515E2E"/>
    <w:rsid w:val="00516B8D"/>
    <w:rsid w:val="00517ED9"/>
    <w:rsid w:val="005206B3"/>
    <w:rsid w:val="005212BA"/>
    <w:rsid w:val="00523763"/>
    <w:rsid w:val="00527AAF"/>
    <w:rsid w:val="00531096"/>
    <w:rsid w:val="005316AF"/>
    <w:rsid w:val="00532FBA"/>
    <w:rsid w:val="00533307"/>
    <w:rsid w:val="0053540C"/>
    <w:rsid w:val="00536343"/>
    <w:rsid w:val="00536483"/>
    <w:rsid w:val="005368FA"/>
    <w:rsid w:val="00536E40"/>
    <w:rsid w:val="0053770A"/>
    <w:rsid w:val="00542C51"/>
    <w:rsid w:val="00542F34"/>
    <w:rsid w:val="00544DD7"/>
    <w:rsid w:val="005467EC"/>
    <w:rsid w:val="005476E4"/>
    <w:rsid w:val="00547A33"/>
    <w:rsid w:val="00551A72"/>
    <w:rsid w:val="0055404E"/>
    <w:rsid w:val="00555705"/>
    <w:rsid w:val="005610D3"/>
    <w:rsid w:val="00564EDE"/>
    <w:rsid w:val="00565E1E"/>
    <w:rsid w:val="005770DC"/>
    <w:rsid w:val="00577460"/>
    <w:rsid w:val="00590264"/>
    <w:rsid w:val="00593A14"/>
    <w:rsid w:val="005945B9"/>
    <w:rsid w:val="00594C58"/>
    <w:rsid w:val="00596160"/>
    <w:rsid w:val="005964C3"/>
    <w:rsid w:val="005A2201"/>
    <w:rsid w:val="005A6064"/>
    <w:rsid w:val="005A6397"/>
    <w:rsid w:val="005B3684"/>
    <w:rsid w:val="005B4EFF"/>
    <w:rsid w:val="005B6F76"/>
    <w:rsid w:val="005C052F"/>
    <w:rsid w:val="005C0CBC"/>
    <w:rsid w:val="005C21F8"/>
    <w:rsid w:val="005C4743"/>
    <w:rsid w:val="005C6ED0"/>
    <w:rsid w:val="005C7F3D"/>
    <w:rsid w:val="005D45D1"/>
    <w:rsid w:val="005E060F"/>
    <w:rsid w:val="005E6FA8"/>
    <w:rsid w:val="005E7D9B"/>
    <w:rsid w:val="005F22D8"/>
    <w:rsid w:val="005F5A8E"/>
    <w:rsid w:val="005F62A4"/>
    <w:rsid w:val="00603C39"/>
    <w:rsid w:val="0060442C"/>
    <w:rsid w:val="00604C22"/>
    <w:rsid w:val="00606B7D"/>
    <w:rsid w:val="006113D2"/>
    <w:rsid w:val="00612B95"/>
    <w:rsid w:val="00624CC7"/>
    <w:rsid w:val="00625083"/>
    <w:rsid w:val="00625A1C"/>
    <w:rsid w:val="00626D55"/>
    <w:rsid w:val="006316CB"/>
    <w:rsid w:val="00635CCD"/>
    <w:rsid w:val="0064098C"/>
    <w:rsid w:val="00643368"/>
    <w:rsid w:val="00650DB2"/>
    <w:rsid w:val="00651D46"/>
    <w:rsid w:val="00651DF6"/>
    <w:rsid w:val="00652818"/>
    <w:rsid w:val="00654CAC"/>
    <w:rsid w:val="00654D60"/>
    <w:rsid w:val="0066489D"/>
    <w:rsid w:val="00664C0F"/>
    <w:rsid w:val="00671C64"/>
    <w:rsid w:val="00672BDD"/>
    <w:rsid w:val="0067616D"/>
    <w:rsid w:val="00676BC3"/>
    <w:rsid w:val="00680DEB"/>
    <w:rsid w:val="006834C0"/>
    <w:rsid w:val="0068470B"/>
    <w:rsid w:val="006934F3"/>
    <w:rsid w:val="006A47D6"/>
    <w:rsid w:val="006A4E9E"/>
    <w:rsid w:val="006B21BE"/>
    <w:rsid w:val="006B38C2"/>
    <w:rsid w:val="006B3ACF"/>
    <w:rsid w:val="006B4D4D"/>
    <w:rsid w:val="006B6493"/>
    <w:rsid w:val="006B79C7"/>
    <w:rsid w:val="006C4325"/>
    <w:rsid w:val="006C63BF"/>
    <w:rsid w:val="006C73DC"/>
    <w:rsid w:val="006D2829"/>
    <w:rsid w:val="006E517B"/>
    <w:rsid w:val="006E5AC4"/>
    <w:rsid w:val="006E73E0"/>
    <w:rsid w:val="006F2AED"/>
    <w:rsid w:val="007001E1"/>
    <w:rsid w:val="007021E6"/>
    <w:rsid w:val="0070367D"/>
    <w:rsid w:val="007047C9"/>
    <w:rsid w:val="007064FE"/>
    <w:rsid w:val="00717042"/>
    <w:rsid w:val="007205CC"/>
    <w:rsid w:val="007217A0"/>
    <w:rsid w:val="00722CD7"/>
    <w:rsid w:val="00724A3A"/>
    <w:rsid w:val="00727296"/>
    <w:rsid w:val="00731042"/>
    <w:rsid w:val="007348C6"/>
    <w:rsid w:val="00734F2B"/>
    <w:rsid w:val="0073738E"/>
    <w:rsid w:val="00741345"/>
    <w:rsid w:val="0074250F"/>
    <w:rsid w:val="0074489A"/>
    <w:rsid w:val="00746530"/>
    <w:rsid w:val="00756D86"/>
    <w:rsid w:val="007606B8"/>
    <w:rsid w:val="00765DCE"/>
    <w:rsid w:val="007763E5"/>
    <w:rsid w:val="00784CAF"/>
    <w:rsid w:val="00787189"/>
    <w:rsid w:val="00791BD8"/>
    <w:rsid w:val="007A23A9"/>
    <w:rsid w:val="007A23EC"/>
    <w:rsid w:val="007A37C4"/>
    <w:rsid w:val="007A45CC"/>
    <w:rsid w:val="007B2D4C"/>
    <w:rsid w:val="007B3471"/>
    <w:rsid w:val="007B6EA7"/>
    <w:rsid w:val="007C0380"/>
    <w:rsid w:val="007C1A3F"/>
    <w:rsid w:val="007C2CEC"/>
    <w:rsid w:val="007C74C6"/>
    <w:rsid w:val="007D0D4C"/>
    <w:rsid w:val="007D2ACD"/>
    <w:rsid w:val="007D31DD"/>
    <w:rsid w:val="007D4303"/>
    <w:rsid w:val="007D4D1C"/>
    <w:rsid w:val="007D58E9"/>
    <w:rsid w:val="007E1950"/>
    <w:rsid w:val="007E3E59"/>
    <w:rsid w:val="007E45B4"/>
    <w:rsid w:val="007E5F95"/>
    <w:rsid w:val="007F293A"/>
    <w:rsid w:val="007F6971"/>
    <w:rsid w:val="00802485"/>
    <w:rsid w:val="00802A72"/>
    <w:rsid w:val="00802BFC"/>
    <w:rsid w:val="00804BB6"/>
    <w:rsid w:val="00806EAA"/>
    <w:rsid w:val="008109A4"/>
    <w:rsid w:val="008252CD"/>
    <w:rsid w:val="0082645E"/>
    <w:rsid w:val="00826F26"/>
    <w:rsid w:val="008326CE"/>
    <w:rsid w:val="00832F2C"/>
    <w:rsid w:val="00837C7D"/>
    <w:rsid w:val="0084383C"/>
    <w:rsid w:val="00844564"/>
    <w:rsid w:val="00844B71"/>
    <w:rsid w:val="00844C65"/>
    <w:rsid w:val="00845C82"/>
    <w:rsid w:val="008549D5"/>
    <w:rsid w:val="00857FA0"/>
    <w:rsid w:val="00862EC1"/>
    <w:rsid w:val="00863D08"/>
    <w:rsid w:val="00864BBC"/>
    <w:rsid w:val="008708E0"/>
    <w:rsid w:val="00873CC1"/>
    <w:rsid w:val="0088183F"/>
    <w:rsid w:val="00882E48"/>
    <w:rsid w:val="00885183"/>
    <w:rsid w:val="0088647B"/>
    <w:rsid w:val="0088671C"/>
    <w:rsid w:val="00886956"/>
    <w:rsid w:val="00887049"/>
    <w:rsid w:val="00894C1A"/>
    <w:rsid w:val="008979E5"/>
    <w:rsid w:val="008A0170"/>
    <w:rsid w:val="008A376C"/>
    <w:rsid w:val="008A7E29"/>
    <w:rsid w:val="008B1C37"/>
    <w:rsid w:val="008B398B"/>
    <w:rsid w:val="008B600A"/>
    <w:rsid w:val="008C162E"/>
    <w:rsid w:val="008C228F"/>
    <w:rsid w:val="008C7058"/>
    <w:rsid w:val="008C7E86"/>
    <w:rsid w:val="008D2CD3"/>
    <w:rsid w:val="008D2E34"/>
    <w:rsid w:val="008D7E72"/>
    <w:rsid w:val="008E5DE5"/>
    <w:rsid w:val="008E65C2"/>
    <w:rsid w:val="008E6EFF"/>
    <w:rsid w:val="008F3E5F"/>
    <w:rsid w:val="00902253"/>
    <w:rsid w:val="009022B8"/>
    <w:rsid w:val="00902832"/>
    <w:rsid w:val="00904307"/>
    <w:rsid w:val="009074D4"/>
    <w:rsid w:val="00913660"/>
    <w:rsid w:val="00913A2F"/>
    <w:rsid w:val="00923FD5"/>
    <w:rsid w:val="009249D3"/>
    <w:rsid w:val="009254F4"/>
    <w:rsid w:val="009331DC"/>
    <w:rsid w:val="0093356B"/>
    <w:rsid w:val="00934AFF"/>
    <w:rsid w:val="009357E0"/>
    <w:rsid w:val="00940A96"/>
    <w:rsid w:val="0094301C"/>
    <w:rsid w:val="0094320B"/>
    <w:rsid w:val="0094431F"/>
    <w:rsid w:val="0094495E"/>
    <w:rsid w:val="00946B79"/>
    <w:rsid w:val="00951546"/>
    <w:rsid w:val="009524B6"/>
    <w:rsid w:val="009526F2"/>
    <w:rsid w:val="00960E18"/>
    <w:rsid w:val="0096344F"/>
    <w:rsid w:val="00965F75"/>
    <w:rsid w:val="00975BF8"/>
    <w:rsid w:val="00983ED7"/>
    <w:rsid w:val="00987564"/>
    <w:rsid w:val="0099082C"/>
    <w:rsid w:val="00991C2C"/>
    <w:rsid w:val="00996EB0"/>
    <w:rsid w:val="009A342A"/>
    <w:rsid w:val="009A62CE"/>
    <w:rsid w:val="009B242F"/>
    <w:rsid w:val="009B51D3"/>
    <w:rsid w:val="009C264E"/>
    <w:rsid w:val="009C2BF9"/>
    <w:rsid w:val="009C483A"/>
    <w:rsid w:val="009C566F"/>
    <w:rsid w:val="009D0536"/>
    <w:rsid w:val="009D15C7"/>
    <w:rsid w:val="009D5906"/>
    <w:rsid w:val="009D5A05"/>
    <w:rsid w:val="009D5BE2"/>
    <w:rsid w:val="009E1421"/>
    <w:rsid w:val="009E2CFB"/>
    <w:rsid w:val="009E5886"/>
    <w:rsid w:val="00A014F8"/>
    <w:rsid w:val="00A01814"/>
    <w:rsid w:val="00A018B9"/>
    <w:rsid w:val="00A046DF"/>
    <w:rsid w:val="00A04CAE"/>
    <w:rsid w:val="00A1151E"/>
    <w:rsid w:val="00A14876"/>
    <w:rsid w:val="00A204C3"/>
    <w:rsid w:val="00A240CE"/>
    <w:rsid w:val="00A24696"/>
    <w:rsid w:val="00A26566"/>
    <w:rsid w:val="00A26EDC"/>
    <w:rsid w:val="00A30B2A"/>
    <w:rsid w:val="00A30CBC"/>
    <w:rsid w:val="00A310A8"/>
    <w:rsid w:val="00A311E0"/>
    <w:rsid w:val="00A47B4D"/>
    <w:rsid w:val="00A5429F"/>
    <w:rsid w:val="00A64F0B"/>
    <w:rsid w:val="00A65CAC"/>
    <w:rsid w:val="00A66ED2"/>
    <w:rsid w:val="00A85889"/>
    <w:rsid w:val="00A873DF"/>
    <w:rsid w:val="00A91A52"/>
    <w:rsid w:val="00A97975"/>
    <w:rsid w:val="00AA0B1D"/>
    <w:rsid w:val="00AA38D5"/>
    <w:rsid w:val="00AA7B1F"/>
    <w:rsid w:val="00AB4204"/>
    <w:rsid w:val="00AB5FA2"/>
    <w:rsid w:val="00AC03EF"/>
    <w:rsid w:val="00AC0A15"/>
    <w:rsid w:val="00AC1202"/>
    <w:rsid w:val="00AC24B0"/>
    <w:rsid w:val="00AC6FB0"/>
    <w:rsid w:val="00AD0581"/>
    <w:rsid w:val="00AD1DFB"/>
    <w:rsid w:val="00AD35BB"/>
    <w:rsid w:val="00AD4204"/>
    <w:rsid w:val="00AD7B7D"/>
    <w:rsid w:val="00AE4899"/>
    <w:rsid w:val="00AF1C5A"/>
    <w:rsid w:val="00AF55DC"/>
    <w:rsid w:val="00AF7C98"/>
    <w:rsid w:val="00B0114E"/>
    <w:rsid w:val="00B02C30"/>
    <w:rsid w:val="00B039BC"/>
    <w:rsid w:val="00B041F7"/>
    <w:rsid w:val="00B04F55"/>
    <w:rsid w:val="00B1274B"/>
    <w:rsid w:val="00B13941"/>
    <w:rsid w:val="00B14128"/>
    <w:rsid w:val="00B15687"/>
    <w:rsid w:val="00B17D90"/>
    <w:rsid w:val="00B22244"/>
    <w:rsid w:val="00B42103"/>
    <w:rsid w:val="00B45595"/>
    <w:rsid w:val="00B472B6"/>
    <w:rsid w:val="00B501E7"/>
    <w:rsid w:val="00B54F87"/>
    <w:rsid w:val="00B55851"/>
    <w:rsid w:val="00B6034C"/>
    <w:rsid w:val="00B6068B"/>
    <w:rsid w:val="00B620CC"/>
    <w:rsid w:val="00B6550C"/>
    <w:rsid w:val="00B70639"/>
    <w:rsid w:val="00B70BAC"/>
    <w:rsid w:val="00B757B4"/>
    <w:rsid w:val="00B7637B"/>
    <w:rsid w:val="00B80AC5"/>
    <w:rsid w:val="00B83340"/>
    <w:rsid w:val="00B85764"/>
    <w:rsid w:val="00B90992"/>
    <w:rsid w:val="00B93647"/>
    <w:rsid w:val="00BA3AA6"/>
    <w:rsid w:val="00BA6889"/>
    <w:rsid w:val="00BB0E2B"/>
    <w:rsid w:val="00BB2DB2"/>
    <w:rsid w:val="00BB5A12"/>
    <w:rsid w:val="00BB5C79"/>
    <w:rsid w:val="00BB6AA3"/>
    <w:rsid w:val="00BB749C"/>
    <w:rsid w:val="00BC29DC"/>
    <w:rsid w:val="00BC7052"/>
    <w:rsid w:val="00BC7F78"/>
    <w:rsid w:val="00BD12A5"/>
    <w:rsid w:val="00BD32B2"/>
    <w:rsid w:val="00BD372A"/>
    <w:rsid w:val="00BD3CEF"/>
    <w:rsid w:val="00BF039D"/>
    <w:rsid w:val="00BF3E99"/>
    <w:rsid w:val="00BF57B4"/>
    <w:rsid w:val="00BF61F8"/>
    <w:rsid w:val="00C06D9F"/>
    <w:rsid w:val="00C15A3A"/>
    <w:rsid w:val="00C249FD"/>
    <w:rsid w:val="00C26086"/>
    <w:rsid w:val="00C27067"/>
    <w:rsid w:val="00C27D3C"/>
    <w:rsid w:val="00C30DFD"/>
    <w:rsid w:val="00C31842"/>
    <w:rsid w:val="00C32F52"/>
    <w:rsid w:val="00C3747F"/>
    <w:rsid w:val="00C40272"/>
    <w:rsid w:val="00C4301E"/>
    <w:rsid w:val="00C43E30"/>
    <w:rsid w:val="00C46B43"/>
    <w:rsid w:val="00C56E9E"/>
    <w:rsid w:val="00C62602"/>
    <w:rsid w:val="00C66A77"/>
    <w:rsid w:val="00C73854"/>
    <w:rsid w:val="00C74533"/>
    <w:rsid w:val="00C831D2"/>
    <w:rsid w:val="00C8533F"/>
    <w:rsid w:val="00C93AAC"/>
    <w:rsid w:val="00C943C6"/>
    <w:rsid w:val="00C95432"/>
    <w:rsid w:val="00CA2B5D"/>
    <w:rsid w:val="00CA3239"/>
    <w:rsid w:val="00CA4AF1"/>
    <w:rsid w:val="00CA70DD"/>
    <w:rsid w:val="00CB0108"/>
    <w:rsid w:val="00CB297C"/>
    <w:rsid w:val="00CB31C1"/>
    <w:rsid w:val="00CB4BE1"/>
    <w:rsid w:val="00CB4C77"/>
    <w:rsid w:val="00CB5BBB"/>
    <w:rsid w:val="00CB7C91"/>
    <w:rsid w:val="00CC1F62"/>
    <w:rsid w:val="00CC55EB"/>
    <w:rsid w:val="00CC6DC5"/>
    <w:rsid w:val="00CC6F58"/>
    <w:rsid w:val="00CD03CC"/>
    <w:rsid w:val="00CE4796"/>
    <w:rsid w:val="00CF18E0"/>
    <w:rsid w:val="00CF347F"/>
    <w:rsid w:val="00CF4C9B"/>
    <w:rsid w:val="00CF54BF"/>
    <w:rsid w:val="00CF7591"/>
    <w:rsid w:val="00CF790E"/>
    <w:rsid w:val="00D0313C"/>
    <w:rsid w:val="00D03AE4"/>
    <w:rsid w:val="00D03CD6"/>
    <w:rsid w:val="00D10894"/>
    <w:rsid w:val="00D10AFC"/>
    <w:rsid w:val="00D1192F"/>
    <w:rsid w:val="00D11CAD"/>
    <w:rsid w:val="00D124FB"/>
    <w:rsid w:val="00D13A86"/>
    <w:rsid w:val="00D22267"/>
    <w:rsid w:val="00D22424"/>
    <w:rsid w:val="00D2454F"/>
    <w:rsid w:val="00D36BE0"/>
    <w:rsid w:val="00D41C29"/>
    <w:rsid w:val="00D42EB4"/>
    <w:rsid w:val="00D44732"/>
    <w:rsid w:val="00D52710"/>
    <w:rsid w:val="00D55DE2"/>
    <w:rsid w:val="00D561E5"/>
    <w:rsid w:val="00D61057"/>
    <w:rsid w:val="00D62B19"/>
    <w:rsid w:val="00D653EC"/>
    <w:rsid w:val="00D66B74"/>
    <w:rsid w:val="00D72C9E"/>
    <w:rsid w:val="00D77FEB"/>
    <w:rsid w:val="00D8076B"/>
    <w:rsid w:val="00D854E9"/>
    <w:rsid w:val="00D96411"/>
    <w:rsid w:val="00DA2CAA"/>
    <w:rsid w:val="00DA3489"/>
    <w:rsid w:val="00DA79F7"/>
    <w:rsid w:val="00DB1B4D"/>
    <w:rsid w:val="00DB716D"/>
    <w:rsid w:val="00DC0775"/>
    <w:rsid w:val="00DC1FC8"/>
    <w:rsid w:val="00DC3A3D"/>
    <w:rsid w:val="00DC69E5"/>
    <w:rsid w:val="00DD0236"/>
    <w:rsid w:val="00DD02F8"/>
    <w:rsid w:val="00DD30AD"/>
    <w:rsid w:val="00DD3554"/>
    <w:rsid w:val="00DD44E1"/>
    <w:rsid w:val="00DE66CC"/>
    <w:rsid w:val="00DE6CA8"/>
    <w:rsid w:val="00DF3ACF"/>
    <w:rsid w:val="00E009AA"/>
    <w:rsid w:val="00E045DA"/>
    <w:rsid w:val="00E05A21"/>
    <w:rsid w:val="00E0793C"/>
    <w:rsid w:val="00E10227"/>
    <w:rsid w:val="00E120E3"/>
    <w:rsid w:val="00E208CE"/>
    <w:rsid w:val="00E2292E"/>
    <w:rsid w:val="00E237AD"/>
    <w:rsid w:val="00E243BE"/>
    <w:rsid w:val="00E25BAB"/>
    <w:rsid w:val="00E26241"/>
    <w:rsid w:val="00E300F2"/>
    <w:rsid w:val="00E316DA"/>
    <w:rsid w:val="00E35B2B"/>
    <w:rsid w:val="00E41C93"/>
    <w:rsid w:val="00E45575"/>
    <w:rsid w:val="00E4612B"/>
    <w:rsid w:val="00E50C54"/>
    <w:rsid w:val="00E5702B"/>
    <w:rsid w:val="00E6080B"/>
    <w:rsid w:val="00E63237"/>
    <w:rsid w:val="00E63DED"/>
    <w:rsid w:val="00E66144"/>
    <w:rsid w:val="00E72758"/>
    <w:rsid w:val="00E72D1A"/>
    <w:rsid w:val="00E74E41"/>
    <w:rsid w:val="00E8527C"/>
    <w:rsid w:val="00E902BC"/>
    <w:rsid w:val="00E97ACB"/>
    <w:rsid w:val="00EA3465"/>
    <w:rsid w:val="00EA5DFD"/>
    <w:rsid w:val="00EA70F6"/>
    <w:rsid w:val="00EA7B50"/>
    <w:rsid w:val="00EB1F25"/>
    <w:rsid w:val="00EB6B73"/>
    <w:rsid w:val="00EB6DC1"/>
    <w:rsid w:val="00EC0883"/>
    <w:rsid w:val="00EC1F43"/>
    <w:rsid w:val="00EC2C86"/>
    <w:rsid w:val="00EC3ED1"/>
    <w:rsid w:val="00EC4771"/>
    <w:rsid w:val="00EC7605"/>
    <w:rsid w:val="00EC7627"/>
    <w:rsid w:val="00ED13D7"/>
    <w:rsid w:val="00ED14B9"/>
    <w:rsid w:val="00ED2692"/>
    <w:rsid w:val="00ED30C8"/>
    <w:rsid w:val="00ED39BE"/>
    <w:rsid w:val="00EE2E40"/>
    <w:rsid w:val="00EF1940"/>
    <w:rsid w:val="00EF3D73"/>
    <w:rsid w:val="00EF57B7"/>
    <w:rsid w:val="00F00149"/>
    <w:rsid w:val="00F02745"/>
    <w:rsid w:val="00F027B2"/>
    <w:rsid w:val="00F030B6"/>
    <w:rsid w:val="00F03E1D"/>
    <w:rsid w:val="00F04FCB"/>
    <w:rsid w:val="00F13200"/>
    <w:rsid w:val="00F14180"/>
    <w:rsid w:val="00F16E4E"/>
    <w:rsid w:val="00F231ED"/>
    <w:rsid w:val="00F236E8"/>
    <w:rsid w:val="00F30054"/>
    <w:rsid w:val="00F319C3"/>
    <w:rsid w:val="00F34813"/>
    <w:rsid w:val="00F350D4"/>
    <w:rsid w:val="00F3731C"/>
    <w:rsid w:val="00F37D8C"/>
    <w:rsid w:val="00F439D2"/>
    <w:rsid w:val="00F51B46"/>
    <w:rsid w:val="00F527E0"/>
    <w:rsid w:val="00F52AB7"/>
    <w:rsid w:val="00F552FE"/>
    <w:rsid w:val="00F5676C"/>
    <w:rsid w:val="00F634A2"/>
    <w:rsid w:val="00F66B7B"/>
    <w:rsid w:val="00F71205"/>
    <w:rsid w:val="00F71333"/>
    <w:rsid w:val="00F75550"/>
    <w:rsid w:val="00F80796"/>
    <w:rsid w:val="00F81A73"/>
    <w:rsid w:val="00F83347"/>
    <w:rsid w:val="00F839F5"/>
    <w:rsid w:val="00F8453F"/>
    <w:rsid w:val="00F8555E"/>
    <w:rsid w:val="00F91245"/>
    <w:rsid w:val="00F9545C"/>
    <w:rsid w:val="00F97DF0"/>
    <w:rsid w:val="00FA4C48"/>
    <w:rsid w:val="00FB0F67"/>
    <w:rsid w:val="00FB7039"/>
    <w:rsid w:val="00FC26D4"/>
    <w:rsid w:val="00FC2D96"/>
    <w:rsid w:val="00FC3B55"/>
    <w:rsid w:val="00FC5E52"/>
    <w:rsid w:val="00FC667A"/>
    <w:rsid w:val="00FC7826"/>
    <w:rsid w:val="00FD1203"/>
    <w:rsid w:val="00FD2564"/>
    <w:rsid w:val="00FD2658"/>
    <w:rsid w:val="00FE1446"/>
    <w:rsid w:val="00FE297D"/>
    <w:rsid w:val="00FE3D9B"/>
    <w:rsid w:val="00FE5E7C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C31116"/>
  <w15:docId w15:val="{FEF2ADC6-CE40-4C60-9E08-60AC1A6A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uiPriority w:val="99"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IMP">
    <w:name w:val="Normální_IMP"/>
    <w:basedOn w:val="Normln"/>
    <w:rsid w:val="007B6EA7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character" w:customStyle="1" w:styleId="Jin">
    <w:name w:val="Jiné_"/>
    <w:basedOn w:val="Standardnpsmoodstavce"/>
    <w:link w:val="Jin0"/>
    <w:rsid w:val="006D2829"/>
    <w:rPr>
      <w:i/>
      <w:iCs/>
      <w:shd w:val="clear" w:color="auto" w:fill="FFFFFF"/>
    </w:rPr>
  </w:style>
  <w:style w:type="paragraph" w:customStyle="1" w:styleId="Jin0">
    <w:name w:val="Jiné"/>
    <w:basedOn w:val="Normln"/>
    <w:link w:val="Jin"/>
    <w:rsid w:val="006D2829"/>
    <w:pPr>
      <w:widowControl w:val="0"/>
      <w:shd w:val="clear" w:color="auto" w:fill="FFFFFF"/>
      <w:spacing w:line="276" w:lineRule="auto"/>
      <w:ind w:left="540" w:firstLine="40"/>
    </w:pPr>
    <w:rPr>
      <w:i/>
      <w:iCs/>
      <w:sz w:val="20"/>
      <w:szCs w:val="20"/>
    </w:rPr>
  </w:style>
  <w:style w:type="character" w:customStyle="1" w:styleId="WW8Num1z1">
    <w:name w:val="WW8Num1z1"/>
    <w:rsid w:val="006D2829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dek.sima@suspk.eu" TargetMode="External"/><Relationship Id="rId18" Type="http://schemas.openxmlformats.org/officeDocument/2006/relationships/hyperlink" Target="http://www.suspk.eu/o-nas-a/informace-ohledne-gdpr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miroslav.ulasinm@suspk.eu" TargetMode="External"/><Relationship Id="rId17" Type="http://schemas.openxmlformats.org/officeDocument/2006/relationships/hyperlink" Target="http://www.suspk.eu/o-nas-a/informace-ohledne-gdpr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aniel.zizka@suspk.eu" TargetMode="External"/><Relationship Id="rId20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zizka@suspk.eu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posta@suspk.eu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aniel.zizka@suspk.eu" TargetMode="External"/><Relationship Id="rId19" Type="http://schemas.openxmlformats.org/officeDocument/2006/relationships/hyperlink" Target="http://www.suspk.eu/o-nas-a/formulare-ke-stazeni/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monika.tomaskova@suspk.e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266A1-C136-4762-BC84-9EC08649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9</Pages>
  <Words>3712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25701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Kvardová Ludmila</cp:lastModifiedBy>
  <cp:revision>39</cp:revision>
  <cp:lastPrinted>2022-02-24T14:49:00Z</cp:lastPrinted>
  <dcterms:created xsi:type="dcterms:W3CDTF">2023-02-10T06:20:00Z</dcterms:created>
  <dcterms:modified xsi:type="dcterms:W3CDTF">2026-02-19T11:55:00Z</dcterms:modified>
</cp:coreProperties>
</file>