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1276"/>
        <w:gridCol w:w="849"/>
        <w:gridCol w:w="1274"/>
        <w:gridCol w:w="1995"/>
        <w:gridCol w:w="563"/>
        <w:gridCol w:w="711"/>
        <w:gridCol w:w="2075"/>
      </w:tblGrid>
      <w:tr w:rsidR="00E26E55" w:rsidRPr="00FA7E5A" w14:paraId="16EFD2D2" w14:textId="77777777" w:rsidTr="00E26E55">
        <w:trPr>
          <w:trHeight w:val="740"/>
          <w:jc w:val="center"/>
        </w:trPr>
        <w:tc>
          <w:tcPr>
            <w:tcW w:w="100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B32CD03" w14:textId="34DF21A6" w:rsidR="00E26E55" w:rsidRPr="00FA7E5A" w:rsidRDefault="00E26E55" w:rsidP="00E26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E26E55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VÝZVA K PODÁNÍ NABÍDKY</w:t>
            </w:r>
          </w:p>
        </w:tc>
      </w:tr>
      <w:tr w:rsidR="00E26E55" w:rsidRPr="00FA7E5A" w14:paraId="471BAFCE" w14:textId="77777777" w:rsidTr="00E26E55">
        <w:trPr>
          <w:trHeight w:hRule="exact" w:val="397"/>
          <w:jc w:val="center"/>
        </w:trPr>
        <w:tc>
          <w:tcPr>
            <w:tcW w:w="10012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7776F8" w14:textId="77777777" w:rsidR="00E26E55" w:rsidRPr="00FA7E5A" w:rsidRDefault="00E26E55" w:rsidP="00E26E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E26E55" w:rsidRPr="00FA7E5A" w14:paraId="4ED4ABAC" w14:textId="77777777" w:rsidTr="00E26E55">
        <w:trPr>
          <w:trHeight w:val="284"/>
          <w:jc w:val="center"/>
        </w:trPr>
        <w:tc>
          <w:tcPr>
            <w:tcW w:w="10012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45605" w14:textId="314CF4A9" w:rsidR="00E26E55" w:rsidRPr="00FA7E5A" w:rsidRDefault="00E26E55" w:rsidP="00B513D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E26E55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VÝZVA Č. 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1 -</w:t>
            </w:r>
            <w:r w:rsidRPr="00E26E55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 </w:t>
            </w:r>
            <w:r w:rsidR="00B513D3" w:rsidRPr="00B513D3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DYNAMICKÝ NÁKUPNÍ SYSTÉM - </w:t>
            </w:r>
            <w:r w:rsidR="00074E9C" w:rsidRPr="00074E9C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INKONTINENČNÍ POMŮCKY A DĚTSKÉ PLENY </w:t>
            </w:r>
            <w:r w:rsidR="00B513D3" w:rsidRPr="00B513D3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PRO NEMOCNICE PLZEŇSKÉHO KRAJE</w:t>
            </w:r>
          </w:p>
        </w:tc>
      </w:tr>
      <w:tr w:rsidR="00E26E55" w:rsidRPr="00FA7E5A" w14:paraId="13BC37A1" w14:textId="77777777" w:rsidTr="00E26E55">
        <w:trPr>
          <w:trHeight w:val="284"/>
          <w:jc w:val="center"/>
        </w:trPr>
        <w:tc>
          <w:tcPr>
            <w:tcW w:w="10012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0FAA4" w14:textId="1E1A2F6C" w:rsidR="00E26E55" w:rsidRPr="00E26E55" w:rsidRDefault="007F5F3F" w:rsidP="0068591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 w:rsidRPr="007F5F3F">
              <w:rPr>
                <w:b/>
                <w:bCs/>
              </w:rPr>
              <w:t xml:space="preserve">KATEGORIE 1 </w:t>
            </w:r>
            <w:r w:rsidR="00685919">
              <w:rPr>
                <w:b/>
                <w:bCs/>
              </w:rPr>
              <w:t>– PLENKOVÉ KALHOTKY PRO DOSPĚLÉ DENNÍ A NOČNÍ</w:t>
            </w:r>
          </w:p>
        </w:tc>
      </w:tr>
      <w:tr w:rsidR="00E26E55" w:rsidRPr="00FA7E5A" w14:paraId="1F041433" w14:textId="77777777" w:rsidTr="00E26E55">
        <w:trPr>
          <w:trHeight w:val="284"/>
          <w:jc w:val="center"/>
        </w:trPr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CAC59E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19F6" w14:textId="4BD72CA3" w:rsidR="00E26E55" w:rsidRPr="00FA7E5A" w:rsidRDefault="00B513D3" w:rsidP="0007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513D3">
              <w:rPr>
                <w:rFonts w:ascii="Calibri" w:eastAsia="Times New Roman" w:hAnsi="Calibri" w:cs="Calibri"/>
                <w:lang w:eastAsia="cs-CZ"/>
              </w:rPr>
              <w:t>CN/</w:t>
            </w:r>
            <w:r w:rsidR="00630D1A">
              <w:rPr>
                <w:rFonts w:ascii="Calibri" w:eastAsia="Times New Roman" w:hAnsi="Calibri" w:cs="Calibri"/>
                <w:lang w:eastAsia="cs-CZ"/>
              </w:rPr>
              <w:t>1</w:t>
            </w:r>
            <w:r w:rsidR="00074E9C">
              <w:rPr>
                <w:rFonts w:ascii="Calibri" w:eastAsia="Times New Roman" w:hAnsi="Calibri" w:cs="Calibri"/>
                <w:lang w:eastAsia="cs-CZ"/>
              </w:rPr>
              <w:t>37</w:t>
            </w:r>
            <w:r w:rsidRPr="00B513D3">
              <w:rPr>
                <w:rFonts w:ascii="Calibri" w:eastAsia="Times New Roman" w:hAnsi="Calibri" w:cs="Calibri"/>
                <w:lang w:eastAsia="cs-CZ"/>
              </w:rPr>
              <w:t>/CN/24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84CCADC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F2140" w14:textId="3DF8B914" w:rsidR="00E26E55" w:rsidRPr="00FA7E5A" w:rsidRDefault="00DD08CD" w:rsidP="00E26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4017</w:t>
            </w:r>
            <w:r w:rsidR="00630D1A">
              <w:rPr>
                <w:rFonts w:ascii="Calibri" w:eastAsia="Times New Roman" w:hAnsi="Calibri" w:cs="Calibri"/>
                <w:lang w:eastAsia="cs-CZ"/>
              </w:rPr>
              <w:t>/25</w:t>
            </w:r>
            <w:r w:rsidR="00E26E55" w:rsidRPr="00FA7E5A">
              <w:rPr>
                <w:rFonts w:ascii="Calibri" w:eastAsia="Times New Roman" w:hAnsi="Calibri" w:cs="Calibri"/>
                <w:lang w:eastAsia="cs-CZ"/>
              </w:rPr>
              <w:t>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07B9174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87FD0F" w14:textId="61041FE2" w:rsidR="00E26E55" w:rsidRPr="00FA7E5A" w:rsidRDefault="00D410D0" w:rsidP="00B5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P25V00000383</w:t>
            </w:r>
          </w:p>
        </w:tc>
      </w:tr>
      <w:tr w:rsidR="00E26E55" w:rsidRPr="00FA7E5A" w14:paraId="5ED4CB70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87A3CB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A39696" w14:textId="16632086" w:rsidR="00E26E55" w:rsidRPr="00FA7E5A" w:rsidRDefault="00685919" w:rsidP="00B513D3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685919">
              <w:rPr>
                <w:rFonts w:ascii="Calibri" w:eastAsia="Times New Roman" w:hAnsi="Calibri" w:cs="Calibri"/>
                <w:color w:val="0563C1" w:themeColor="hyperlink"/>
                <w:sz w:val="20"/>
                <w:u w:val="single"/>
                <w:lang w:eastAsia="cs-CZ"/>
              </w:rPr>
              <w:t>https://ezak.cnpk.cz/contract_display_12096.html</w:t>
            </w:r>
          </w:p>
        </w:tc>
      </w:tr>
      <w:tr w:rsidR="00E26E55" w:rsidRPr="00FA7E5A" w14:paraId="1D49EC9C" w14:textId="77777777" w:rsidTr="00E26E55">
        <w:trPr>
          <w:trHeight w:val="58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8D6473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5364AB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>------------</w:t>
            </w:r>
          </w:p>
        </w:tc>
      </w:tr>
      <w:tr w:rsidR="00E26E55" w:rsidRPr="00FA7E5A" w14:paraId="20349457" w14:textId="77777777" w:rsidTr="00E26E55">
        <w:trPr>
          <w:trHeight w:val="58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06D325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F0E4D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>------------</w:t>
            </w:r>
          </w:p>
        </w:tc>
      </w:tr>
      <w:tr w:rsidR="00E26E55" w:rsidRPr="00FA7E5A" w14:paraId="1A9B6E56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C2B8488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880E5A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lang w:eastAsia="cs-CZ"/>
              </w:rPr>
              <w:t>Klatovská nemocnice, a.s.</w:t>
            </w:r>
          </w:p>
        </w:tc>
      </w:tr>
      <w:tr w:rsidR="00E26E55" w:rsidRPr="00FA7E5A" w14:paraId="7AA851AA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E49256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ED6D0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>Plzeňská 929, Klatovy, PSČ 339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813E724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973A67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>26360527</w:t>
            </w:r>
          </w:p>
        </w:tc>
      </w:tr>
      <w:tr w:rsidR="00E26E55" w:rsidRPr="00FA7E5A" w14:paraId="0825815F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651D534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6CFBD7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 xml:space="preserve">Ing. Zdeněk Švanda - předseda představenstva, </w:t>
            </w:r>
          </w:p>
          <w:p w14:paraId="6C0639AD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 xml:space="preserve">MUDr. Petr Hubáček, MBA, LL.M. - místopředseda představenstva, </w:t>
            </w:r>
          </w:p>
          <w:p w14:paraId="45DF8221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 xml:space="preserve">Ing. Ondřej Provalil, MBA - člen představenstva, </w:t>
            </w:r>
          </w:p>
          <w:p w14:paraId="2A901590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>Mgr. Daniel Hajšman - člen představenstva</w:t>
            </w:r>
          </w:p>
          <w:p w14:paraId="74980C87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>Ing. Michal Filař – člen představenstva</w:t>
            </w:r>
          </w:p>
        </w:tc>
      </w:tr>
      <w:tr w:rsidR="00E26E55" w:rsidRPr="00FA7E5A" w14:paraId="253A5684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1E0C366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B4E823" w14:textId="2B27E358" w:rsidR="00E26E55" w:rsidRPr="00FA7E5A" w:rsidRDefault="006A62EA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František Bubrle</w:t>
            </w:r>
          </w:p>
        </w:tc>
      </w:tr>
      <w:tr w:rsidR="00E26E55" w:rsidRPr="00FA7E5A" w14:paraId="2ED81334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15CA96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09C504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A7E5A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E26E55" w:rsidRPr="00FA7E5A" w14:paraId="1BF9E4B1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265892F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4C9B00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1E3416B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51676F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E26E55" w:rsidRPr="00FA7E5A" w14:paraId="316F38BB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C72C32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F76875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E26E55" w:rsidRPr="00FA7E5A" w14:paraId="2631F640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2E02AD0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D72EFA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>Mgr. Renata Janoušková</w:t>
            </w:r>
          </w:p>
        </w:tc>
      </w:tr>
      <w:tr w:rsidR="00E26E55" w:rsidRPr="00FA7E5A" w14:paraId="415DC87F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5C0CF63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E0F683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>renata.janouskova@cnpk.cz</w:t>
            </w:r>
          </w:p>
        </w:tc>
      </w:tr>
      <w:tr w:rsidR="00E26E55" w:rsidRPr="00FA7E5A" w14:paraId="447DED37" w14:textId="77777777" w:rsidTr="00E26E55">
        <w:trPr>
          <w:trHeight w:val="284"/>
          <w:jc w:val="center"/>
        </w:trPr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E17FDC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FEF3" w14:textId="77777777" w:rsidR="00E26E55" w:rsidRPr="00FA7E5A" w:rsidRDefault="00E26E55" w:rsidP="00E26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32B9CEC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FF243" w14:textId="77777777" w:rsidR="00E26E55" w:rsidRPr="00FA7E5A" w:rsidRDefault="00E26E55" w:rsidP="00E26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96DB6BB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07D4DD" w14:textId="5624880D" w:rsidR="00E26E55" w:rsidRPr="00FA7E5A" w:rsidRDefault="00E26E55" w:rsidP="00E26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26E55">
              <w:rPr>
                <w:rFonts w:ascii="Calibri" w:eastAsia="Times New Roman" w:hAnsi="Calibri" w:cs="Calibri"/>
                <w:lang w:eastAsia="cs-CZ"/>
              </w:rPr>
              <w:t xml:space="preserve">VZ v rámci DNS </w:t>
            </w:r>
          </w:p>
        </w:tc>
      </w:tr>
      <w:tr w:rsidR="00E26E55" w:rsidRPr="00FA7E5A" w14:paraId="57A9CFE0" w14:textId="77777777" w:rsidTr="00E26E55">
        <w:trPr>
          <w:trHeight w:hRule="exact"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022309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6D1C2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</w:tr>
    </w:tbl>
    <w:p w14:paraId="228E8F20" w14:textId="77777777" w:rsidR="00E26E55" w:rsidRDefault="00E26E55" w:rsidP="00E26E55">
      <w:pPr>
        <w:spacing w:after="12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14:paraId="52159312" w14:textId="77777777" w:rsidR="00E26E55" w:rsidRDefault="00E26E55" w:rsidP="00E26E55">
      <w:pPr>
        <w:spacing w:after="12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14:paraId="6B73DDAF" w14:textId="63FB5EA1" w:rsidR="00EF2723" w:rsidRPr="00C3484E" w:rsidRDefault="00EF2723" w:rsidP="00E26E55">
      <w:pPr>
        <w:spacing w:after="12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C3484E">
        <w:rPr>
          <w:rFonts w:ascii="Calibri" w:eastAsia="Times New Roman" w:hAnsi="Calibri" w:cs="Calibri"/>
          <w:szCs w:val="24"/>
          <w:lang w:eastAsia="cs-CZ"/>
        </w:rPr>
        <w:t xml:space="preserve">Centrální zadavatel v souladu s § </w:t>
      </w:r>
      <w:r w:rsidR="00D06545">
        <w:rPr>
          <w:rFonts w:ascii="Calibri" w:eastAsia="Times New Roman" w:hAnsi="Calibri" w:cs="Calibri"/>
          <w:szCs w:val="24"/>
          <w:lang w:eastAsia="cs-CZ"/>
        </w:rPr>
        <w:t xml:space="preserve">141 odst. 1 </w:t>
      </w:r>
      <w:r w:rsidRPr="00C3484E">
        <w:rPr>
          <w:rFonts w:ascii="Calibri" w:eastAsia="Times New Roman" w:hAnsi="Calibri" w:cs="Calibri"/>
          <w:szCs w:val="24"/>
          <w:lang w:eastAsia="cs-CZ"/>
        </w:rPr>
        <w:t xml:space="preserve">zákona č. 134/2016 Sb., o zadávání veřejných zakázek, v platném znění (dále „ZZVZ“) vydává tuto </w:t>
      </w:r>
      <w:r w:rsidR="00D06545">
        <w:rPr>
          <w:rFonts w:ascii="Calibri" w:eastAsia="Times New Roman" w:hAnsi="Calibri" w:cs="Calibri"/>
          <w:b/>
          <w:szCs w:val="24"/>
          <w:lang w:eastAsia="cs-CZ"/>
        </w:rPr>
        <w:t>Výzvu k podání nabídky v Dynamickém nákupním systému</w:t>
      </w:r>
      <w:r w:rsidRPr="00C3484E">
        <w:rPr>
          <w:rFonts w:ascii="Calibri" w:eastAsia="Times New Roman" w:hAnsi="Calibri" w:cs="Calibri"/>
          <w:szCs w:val="24"/>
          <w:lang w:eastAsia="cs-CZ"/>
        </w:rPr>
        <w:t>.</w:t>
      </w:r>
    </w:p>
    <w:p w14:paraId="31B43F99" w14:textId="77777777" w:rsidR="000C6316" w:rsidRDefault="000C6316">
      <w:pPr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571795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BA1FBF" w14:textId="5D355E90" w:rsidR="000C6316" w:rsidRPr="000C6316" w:rsidRDefault="000C6316">
          <w:pPr>
            <w:pStyle w:val="Nadpisobsahu"/>
            <w:rPr>
              <w:rStyle w:val="Nadpis1Char"/>
            </w:rPr>
          </w:pPr>
          <w:r w:rsidRPr="000C6316">
            <w:rPr>
              <w:rStyle w:val="Nadpis1Char"/>
              <w:rFonts w:asciiTheme="minorHAnsi" w:hAnsiTheme="minorHAnsi" w:cstheme="minorHAnsi"/>
              <w:color w:val="auto"/>
            </w:rPr>
            <w:t>Obsah</w:t>
          </w:r>
        </w:p>
        <w:p w14:paraId="5021B28A" w14:textId="77777777" w:rsidR="00B32894" w:rsidRDefault="000C6316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r w:rsidRPr="007062F1">
            <w:rPr>
              <w:b/>
              <w:bCs/>
              <w:sz w:val="19"/>
              <w:szCs w:val="19"/>
            </w:rPr>
            <w:fldChar w:fldCharType="begin"/>
          </w:r>
          <w:r w:rsidRPr="007062F1">
            <w:rPr>
              <w:b/>
              <w:bCs/>
              <w:sz w:val="19"/>
              <w:szCs w:val="19"/>
            </w:rPr>
            <w:instrText xml:space="preserve"> TOC \o "1-3" \h \z \u </w:instrText>
          </w:r>
          <w:r w:rsidRPr="007062F1">
            <w:rPr>
              <w:b/>
              <w:bCs/>
              <w:sz w:val="19"/>
              <w:szCs w:val="19"/>
            </w:rPr>
            <w:fldChar w:fldCharType="separate"/>
          </w:r>
          <w:hyperlink w:anchor="_Toc179958149" w:history="1">
            <w:r w:rsidR="00B32894" w:rsidRPr="00A80747">
              <w:rPr>
                <w:rStyle w:val="Hypertextovodkaz"/>
                <w:noProof/>
              </w:rPr>
              <w:t>1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noProof/>
              </w:rPr>
              <w:t>ADMINISTRÁTOR A ZÚČASTNĚNÍ ZADAVATELÉ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_Toc179958149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57493F">
              <w:rPr>
                <w:noProof/>
                <w:webHidden/>
              </w:rPr>
              <w:t>3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37CB2C81" w14:textId="77777777" w:rsidR="00B32894" w:rsidRDefault="00F0394D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hyperlink w:anchor="_Toc179958150" w:history="1">
            <w:r w:rsidR="00B32894" w:rsidRPr="00A80747">
              <w:rPr>
                <w:rStyle w:val="Hypertextovodkaz"/>
                <w:noProof/>
              </w:rPr>
              <w:t>2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noProof/>
              </w:rPr>
              <w:t>VEŘEJNÁ ZAKÁZKA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_Toc179958150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57493F">
              <w:rPr>
                <w:noProof/>
                <w:webHidden/>
              </w:rPr>
              <w:t>3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08771893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51" w:history="1">
            <w:r w:rsidR="00B32894" w:rsidRPr="00A80747">
              <w:rPr>
                <w:rStyle w:val="Hypertextovodkaz"/>
              </w:rPr>
              <w:t>2.1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Veřejná zakázka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_Toc179958151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3</w:t>
            </w:r>
            <w:r w:rsidR="00B32894">
              <w:rPr>
                <w:webHidden/>
              </w:rPr>
              <w:fldChar w:fldCharType="end"/>
            </w:r>
          </w:hyperlink>
        </w:p>
        <w:p w14:paraId="5BF66C5C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52" w:history="1">
            <w:r w:rsidR="00B32894" w:rsidRPr="00A80747">
              <w:rPr>
                <w:rStyle w:val="Hypertextovodkaz"/>
              </w:rPr>
              <w:t>2.2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Předmět veřejné zakázky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_Toc179958152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3</w:t>
            </w:r>
            <w:r w:rsidR="00B32894">
              <w:rPr>
                <w:webHidden/>
              </w:rPr>
              <w:fldChar w:fldCharType="end"/>
            </w:r>
          </w:hyperlink>
        </w:p>
        <w:p w14:paraId="17A7DEAA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53" w:history="1">
            <w:r w:rsidR="00B32894" w:rsidRPr="00A80747">
              <w:rPr>
                <w:rStyle w:val="Hypertextovodkaz"/>
              </w:rPr>
              <w:t>2.3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Termín a místo plnění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_Toc179958153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4</w:t>
            </w:r>
            <w:r w:rsidR="00B32894">
              <w:rPr>
                <w:webHidden/>
              </w:rPr>
              <w:fldChar w:fldCharType="end"/>
            </w:r>
          </w:hyperlink>
        </w:p>
        <w:p w14:paraId="1E15E00C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54" w:history="1">
            <w:r w:rsidR="00B32894" w:rsidRPr="00A80747">
              <w:rPr>
                <w:rStyle w:val="Hypertextovodkaz"/>
              </w:rPr>
              <w:t>2.4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Vyhrazená změna závazku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_Toc179958154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4</w:t>
            </w:r>
            <w:r w:rsidR="00B32894">
              <w:rPr>
                <w:webHidden/>
              </w:rPr>
              <w:fldChar w:fldCharType="end"/>
            </w:r>
          </w:hyperlink>
        </w:p>
        <w:p w14:paraId="4841005B" w14:textId="77777777" w:rsidR="00B32894" w:rsidRDefault="00F0394D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hyperlink w:anchor="_Toc179958155" w:history="1"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3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OBCHODNÍ PODMÍNKY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_Toc179958155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57493F">
              <w:rPr>
                <w:noProof/>
                <w:webHidden/>
              </w:rPr>
              <w:t>4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00B76E4A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56" w:history="1">
            <w:r w:rsidR="00B32894" w:rsidRPr="00A80747">
              <w:rPr>
                <w:rStyle w:val="Hypertextovodkaz"/>
              </w:rPr>
              <w:t>3.1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Návrh smlouvy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_Toc179958156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4</w:t>
            </w:r>
            <w:r w:rsidR="00B32894">
              <w:rPr>
                <w:webHidden/>
              </w:rPr>
              <w:fldChar w:fldCharType="end"/>
            </w:r>
          </w:hyperlink>
        </w:p>
        <w:p w14:paraId="180ECE73" w14:textId="77777777" w:rsidR="00B32894" w:rsidRDefault="00F0394D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hyperlink w:anchor="_Toc179958157" w:history="1"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4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POŽADAVKY ZADAVATELE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_Toc179958157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57493F">
              <w:rPr>
                <w:noProof/>
                <w:webHidden/>
              </w:rPr>
              <w:t>4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0B12C2C9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58" w:history="1">
            <w:r w:rsidR="00B32894" w:rsidRPr="00A80747">
              <w:rPr>
                <w:rStyle w:val="Hypertextovodkaz"/>
              </w:rPr>
              <w:t>4.1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Požadavky na plnění veřejné zakázky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_Toc179958158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4</w:t>
            </w:r>
            <w:r w:rsidR="00B32894">
              <w:rPr>
                <w:webHidden/>
              </w:rPr>
              <w:fldChar w:fldCharType="end"/>
            </w:r>
          </w:hyperlink>
        </w:p>
        <w:p w14:paraId="69C7500D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59" w:history="1">
            <w:r w:rsidR="00B32894" w:rsidRPr="00A80747">
              <w:rPr>
                <w:rStyle w:val="Hypertextovodkaz"/>
              </w:rPr>
              <w:t>4.2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Odpovědné veřejné zadávání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_Toc179958159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5</w:t>
            </w:r>
            <w:r w:rsidR="00B32894">
              <w:rPr>
                <w:webHidden/>
              </w:rPr>
              <w:fldChar w:fldCharType="end"/>
            </w:r>
          </w:hyperlink>
        </w:p>
        <w:p w14:paraId="1E56FFAB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60" w:history="1">
            <w:r w:rsidR="00B32894" w:rsidRPr="00A80747">
              <w:rPr>
                <w:rStyle w:val="Hypertextovodkaz"/>
              </w:rPr>
              <w:t>4.3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Krycí list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_Toc179958160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5</w:t>
            </w:r>
            <w:r w:rsidR="00B32894">
              <w:rPr>
                <w:webHidden/>
              </w:rPr>
              <w:fldChar w:fldCharType="end"/>
            </w:r>
          </w:hyperlink>
        </w:p>
        <w:p w14:paraId="0A9B055C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61" w:history="1">
            <w:r w:rsidR="00B32894" w:rsidRPr="00A80747">
              <w:rPr>
                <w:rStyle w:val="Hypertextovodkaz"/>
              </w:rPr>
              <w:t>4.4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Technická specifikace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_Toc179958161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5</w:t>
            </w:r>
            <w:r w:rsidR="00B32894">
              <w:rPr>
                <w:webHidden/>
              </w:rPr>
              <w:fldChar w:fldCharType="end"/>
            </w:r>
          </w:hyperlink>
        </w:p>
        <w:p w14:paraId="782963C6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62" w:history="1">
            <w:r w:rsidR="00B32894" w:rsidRPr="00A80747">
              <w:rPr>
                <w:rStyle w:val="Hypertextovodkaz"/>
              </w:rPr>
              <w:t>4.5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Vzorek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_Toc179958162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5</w:t>
            </w:r>
            <w:r w:rsidR="00B32894">
              <w:rPr>
                <w:webHidden/>
              </w:rPr>
              <w:fldChar w:fldCharType="end"/>
            </w:r>
          </w:hyperlink>
        </w:p>
        <w:p w14:paraId="66E59C76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63" w:history="1">
            <w:r w:rsidR="00B32894" w:rsidRPr="00A80747">
              <w:rPr>
                <w:rStyle w:val="Hypertextovodkaz"/>
              </w:rPr>
              <w:t>4.6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Katalog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_Toc179958163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5</w:t>
            </w:r>
            <w:r w:rsidR="00B32894">
              <w:rPr>
                <w:webHidden/>
              </w:rPr>
              <w:fldChar w:fldCharType="end"/>
            </w:r>
          </w:hyperlink>
        </w:p>
        <w:p w14:paraId="11B04CB0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64" w:history="1">
            <w:r w:rsidR="00B32894" w:rsidRPr="00B32894">
              <w:rPr>
                <w:rStyle w:val="Hypertextovodkaz"/>
              </w:rPr>
              <w:t>4.7</w:t>
            </w:r>
            <w:r w:rsidR="00B32894" w:rsidRPr="00B32894">
              <w:rPr>
                <w:rFonts w:eastAsiaTheme="minorEastAsia" w:cstheme="minorBidi"/>
              </w:rPr>
              <w:tab/>
            </w:r>
            <w:r w:rsidR="00B32894" w:rsidRPr="00B32894">
              <w:rPr>
                <w:rStyle w:val="Hypertextovodkaz"/>
              </w:rPr>
              <w:t>Požadavky kontrolního orgánu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_Toc179958164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6</w:t>
            </w:r>
            <w:r w:rsidR="00B32894">
              <w:rPr>
                <w:webHidden/>
              </w:rPr>
              <w:fldChar w:fldCharType="end"/>
            </w:r>
          </w:hyperlink>
        </w:p>
        <w:p w14:paraId="337AAC0B" w14:textId="77777777" w:rsidR="00B32894" w:rsidRDefault="00F0394D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hyperlink w:anchor="_Toc179958165" w:history="1"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5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NABÍDKOVÁ CENA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_Toc179958165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57493F">
              <w:rPr>
                <w:noProof/>
                <w:webHidden/>
              </w:rPr>
              <w:t>6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0426ED01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66" w:history="1">
            <w:r w:rsidR="00B32894" w:rsidRPr="00A80747">
              <w:rPr>
                <w:rStyle w:val="Hypertextovodkaz"/>
              </w:rPr>
              <w:t>5.1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Zpracování nabídkové ceny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_Toc179958166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6</w:t>
            </w:r>
            <w:r w:rsidR="00B32894">
              <w:rPr>
                <w:webHidden/>
              </w:rPr>
              <w:fldChar w:fldCharType="end"/>
            </w:r>
          </w:hyperlink>
        </w:p>
        <w:p w14:paraId="645EEC05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67" w:history="1">
            <w:r w:rsidR="00B32894" w:rsidRPr="00A80747">
              <w:rPr>
                <w:rStyle w:val="Hypertextovodkaz"/>
              </w:rPr>
              <w:t>5.2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Limitace nabídkové ceny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_Toc179958167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6</w:t>
            </w:r>
            <w:r w:rsidR="00B32894">
              <w:rPr>
                <w:webHidden/>
              </w:rPr>
              <w:fldChar w:fldCharType="end"/>
            </w:r>
          </w:hyperlink>
        </w:p>
        <w:p w14:paraId="28915F8C" w14:textId="77777777" w:rsidR="00B32894" w:rsidRDefault="00F0394D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hyperlink w:anchor="_Toc179958168" w:history="1"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6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HODNOCENÍ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_Toc179958168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57493F">
              <w:rPr>
                <w:noProof/>
                <w:webHidden/>
              </w:rPr>
              <w:t>6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6C0B4EA1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69" w:history="1">
            <w:r w:rsidR="00B32894" w:rsidRPr="00A80747">
              <w:rPr>
                <w:rStyle w:val="Hypertextovodkaz"/>
              </w:rPr>
              <w:t>6.1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Hodnoticí kritérium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_Toc179958169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6</w:t>
            </w:r>
            <w:r w:rsidR="00B32894">
              <w:rPr>
                <w:webHidden/>
              </w:rPr>
              <w:fldChar w:fldCharType="end"/>
            </w:r>
          </w:hyperlink>
        </w:p>
        <w:p w14:paraId="08D46F5A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70" w:history="1">
            <w:r w:rsidR="00B32894" w:rsidRPr="00A80747">
              <w:rPr>
                <w:rStyle w:val="Hypertextovodkaz"/>
              </w:rPr>
              <w:t>6.2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Způsob hodnocení nabídek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_Toc179958170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6</w:t>
            </w:r>
            <w:r w:rsidR="00B32894">
              <w:rPr>
                <w:webHidden/>
              </w:rPr>
              <w:fldChar w:fldCharType="end"/>
            </w:r>
          </w:hyperlink>
        </w:p>
        <w:p w14:paraId="58C082B8" w14:textId="77777777" w:rsidR="00B32894" w:rsidRDefault="00F0394D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hyperlink w:anchor="_Toc179958171" w:history="1"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7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NABÍDKA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_Toc179958171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57493F">
              <w:rPr>
                <w:noProof/>
                <w:webHidden/>
              </w:rPr>
              <w:t>6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6C63C16E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72" w:history="1">
            <w:r w:rsidR="00B32894" w:rsidRPr="00A80747">
              <w:rPr>
                <w:rStyle w:val="Hypertextovodkaz"/>
              </w:rPr>
              <w:t>7.1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Lhůta pro podání nabídek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_Toc179958172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6</w:t>
            </w:r>
            <w:r w:rsidR="00B32894">
              <w:rPr>
                <w:webHidden/>
              </w:rPr>
              <w:fldChar w:fldCharType="end"/>
            </w:r>
          </w:hyperlink>
        </w:p>
        <w:p w14:paraId="4A008B14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73" w:history="1">
            <w:r w:rsidR="00B32894" w:rsidRPr="00A80747">
              <w:rPr>
                <w:rStyle w:val="Hypertextovodkaz"/>
              </w:rPr>
              <w:t>7.2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Forma a obsah nabídky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_Toc179958173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6</w:t>
            </w:r>
            <w:r w:rsidR="00B32894">
              <w:rPr>
                <w:webHidden/>
              </w:rPr>
              <w:fldChar w:fldCharType="end"/>
            </w:r>
          </w:hyperlink>
        </w:p>
        <w:p w14:paraId="11E44A52" w14:textId="77777777" w:rsidR="00B32894" w:rsidRDefault="00F0394D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hyperlink w:anchor="_Toc179958174" w:history="1"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8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ZADÁNÍ VEŘEJNÉ ZAKÁZKY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_Toc179958174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57493F">
              <w:rPr>
                <w:noProof/>
                <w:webHidden/>
              </w:rPr>
              <w:t>7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7E03ED46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75" w:history="1">
            <w:r w:rsidR="00B32894" w:rsidRPr="00A80747">
              <w:rPr>
                <w:rStyle w:val="Hypertextovodkaz"/>
              </w:rPr>
              <w:t>8.1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Vysvětlení zadávací dokumentace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_Toc179958175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7</w:t>
            </w:r>
            <w:r w:rsidR="00B32894">
              <w:rPr>
                <w:webHidden/>
              </w:rPr>
              <w:fldChar w:fldCharType="end"/>
            </w:r>
          </w:hyperlink>
        </w:p>
        <w:p w14:paraId="77B28D30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76" w:history="1">
            <w:r w:rsidR="00B32894" w:rsidRPr="00A80747">
              <w:rPr>
                <w:rStyle w:val="Hypertextovodkaz"/>
              </w:rPr>
              <w:t>8.2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Otevírání, kontrola a hodnocení nabídek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_Toc179958176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7</w:t>
            </w:r>
            <w:r w:rsidR="00B32894">
              <w:rPr>
                <w:webHidden/>
              </w:rPr>
              <w:fldChar w:fldCharType="end"/>
            </w:r>
          </w:hyperlink>
        </w:p>
        <w:p w14:paraId="17DF66E5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77" w:history="1">
            <w:r w:rsidR="00B32894" w:rsidRPr="00A80747">
              <w:rPr>
                <w:rStyle w:val="Hypertextovodkaz"/>
              </w:rPr>
              <w:t>8.3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Rozhodnutí o výběru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_Toc179958177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7</w:t>
            </w:r>
            <w:r w:rsidR="00B32894">
              <w:rPr>
                <w:webHidden/>
              </w:rPr>
              <w:fldChar w:fldCharType="end"/>
            </w:r>
          </w:hyperlink>
        </w:p>
        <w:p w14:paraId="707B2DCA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78" w:history="1">
            <w:r w:rsidR="00B32894" w:rsidRPr="00A80747">
              <w:rPr>
                <w:rStyle w:val="Hypertextovodkaz"/>
              </w:rPr>
              <w:t>8.4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Rozhodnutí o vyřazení nabídky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_Toc179958178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7</w:t>
            </w:r>
            <w:r w:rsidR="00B32894">
              <w:rPr>
                <w:webHidden/>
              </w:rPr>
              <w:fldChar w:fldCharType="end"/>
            </w:r>
          </w:hyperlink>
        </w:p>
        <w:p w14:paraId="40988CFA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79" w:history="1">
            <w:r w:rsidR="00B32894" w:rsidRPr="00A80747">
              <w:rPr>
                <w:rStyle w:val="Hypertextovodkaz"/>
              </w:rPr>
              <w:t>8.5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Zrušení Výzvy k podání nabídek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_Toc179958179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7</w:t>
            </w:r>
            <w:r w:rsidR="00B32894">
              <w:rPr>
                <w:webHidden/>
              </w:rPr>
              <w:fldChar w:fldCharType="end"/>
            </w:r>
          </w:hyperlink>
        </w:p>
        <w:p w14:paraId="3765308E" w14:textId="77777777" w:rsidR="00B32894" w:rsidRDefault="00F0394D">
          <w:pPr>
            <w:pStyle w:val="Obsah2"/>
            <w:rPr>
              <w:rFonts w:eastAsiaTheme="minorEastAsia" w:cstheme="minorBidi"/>
            </w:rPr>
          </w:pPr>
          <w:hyperlink w:anchor="_Toc179958180" w:history="1">
            <w:r w:rsidR="00B32894" w:rsidRPr="00A80747">
              <w:rPr>
                <w:rStyle w:val="Hypertextovodkaz"/>
              </w:rPr>
              <w:t>8.6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Uzavření smlouvy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_Toc179958180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57493F">
              <w:rPr>
                <w:webHidden/>
              </w:rPr>
              <w:t>8</w:t>
            </w:r>
            <w:r w:rsidR="00B32894">
              <w:rPr>
                <w:webHidden/>
              </w:rPr>
              <w:fldChar w:fldCharType="end"/>
            </w:r>
          </w:hyperlink>
        </w:p>
        <w:p w14:paraId="40049A57" w14:textId="77777777" w:rsidR="00B32894" w:rsidRDefault="00F0394D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hyperlink w:anchor="_Toc179958181" w:history="1"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9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PŘÍLOHY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_Toc179958181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57493F">
              <w:rPr>
                <w:noProof/>
                <w:webHidden/>
              </w:rPr>
              <w:t>8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3260BA47" w14:textId="7AB06C3D" w:rsidR="000C6316" w:rsidRDefault="000C6316">
          <w:r w:rsidRPr="007062F1">
            <w:rPr>
              <w:b/>
              <w:bCs/>
              <w:sz w:val="19"/>
              <w:szCs w:val="19"/>
            </w:rPr>
            <w:fldChar w:fldCharType="end"/>
          </w:r>
        </w:p>
      </w:sdtContent>
    </w:sdt>
    <w:p w14:paraId="7A79D7D4" w14:textId="77777777" w:rsidR="004E1F0C" w:rsidRDefault="004E1F0C" w:rsidP="00E26E5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5F5162CE" w14:textId="77777777" w:rsidR="004E1F0C" w:rsidRPr="000C6316" w:rsidRDefault="004E1F0C" w:rsidP="004E1F0C">
      <w:pPr>
        <w:pStyle w:val="Nadpis1"/>
      </w:pPr>
      <w:bookmarkStart w:id="0" w:name="_Toc179958149"/>
      <w:r w:rsidRPr="004E1F0C">
        <w:lastRenderedPageBreak/>
        <w:t>ADMINISTRÁTOR</w:t>
      </w:r>
      <w:r>
        <w:t xml:space="preserve"> A </w:t>
      </w:r>
      <w:r w:rsidRPr="000C6316">
        <w:t>ZÚČASTNĚNÍ ZADAVATELÉ</w:t>
      </w:r>
      <w:bookmarkEnd w:id="0"/>
    </w:p>
    <w:p w14:paraId="26AAEE21" w14:textId="2D14B264" w:rsidR="004E1F0C" w:rsidRDefault="004E1F0C" w:rsidP="004E1F0C">
      <w:pPr>
        <w:spacing w:after="120" w:line="240" w:lineRule="auto"/>
        <w:jc w:val="both"/>
        <w:rPr>
          <w:rFonts w:ascii="Calibri" w:eastAsia="Times New Roman" w:hAnsi="Calibri" w:cs="Calibri"/>
          <w:lang w:eastAsia="cs-CZ"/>
        </w:rPr>
      </w:pPr>
      <w:r w:rsidRPr="004E1F0C">
        <w:rPr>
          <w:rFonts w:ascii="Calibri" w:eastAsia="Times New Roman" w:hAnsi="Calibri" w:cs="Calibri"/>
          <w:lang w:eastAsia="cs-CZ"/>
        </w:rPr>
        <w:t>Administrátor zastupuje zadavatele v souladu s § 43 ZZVZ při provádění úkonů, které souvisí se zadávacím řízením, na základě příkazní smlouvy o zastoupení. Zadavateli jsou vyhrazena rozhodnutí o výběru dodavatele, rozhodnutí o vyloučení dodavatele, rozhodnutí o zrušení zadávacího řízení, rozhodnutí o námitkách a uzavření smlouvy na veřejnou zakázku.</w:t>
      </w:r>
    </w:p>
    <w:p w14:paraId="2EB1167E" w14:textId="77777777" w:rsidR="00E26E55" w:rsidRPr="00E26E55" w:rsidRDefault="00EF2723" w:rsidP="004E1F0C">
      <w:pPr>
        <w:spacing w:after="120" w:line="240" w:lineRule="auto"/>
        <w:jc w:val="both"/>
        <w:rPr>
          <w:rFonts w:ascii="Calibri" w:eastAsia="Times New Roman" w:hAnsi="Calibri" w:cs="Calibri"/>
          <w:lang w:eastAsia="cs-CZ"/>
        </w:rPr>
      </w:pPr>
      <w:r w:rsidRPr="00604B93">
        <w:rPr>
          <w:rFonts w:ascii="Calibri" w:eastAsia="Times New Roman" w:hAnsi="Calibri" w:cs="Calibri"/>
          <w:lang w:eastAsia="cs-CZ"/>
        </w:rPr>
        <w:t xml:space="preserve">Centrální zadavatel provádí na základě § 9 odst. 1 písm. b) ZZVZ zadávání veřejné zakázky </w:t>
      </w:r>
      <w:r w:rsidR="00E26E55" w:rsidRPr="00E26E55">
        <w:rPr>
          <w:rFonts w:ascii="Calibri" w:eastAsia="Times New Roman" w:hAnsi="Calibri" w:cs="Calibri"/>
          <w:lang w:eastAsia="cs-CZ"/>
        </w:rPr>
        <w:t>ve prospěch dílčích zadavatelů, kterými jsou:</w:t>
      </w:r>
    </w:p>
    <w:p w14:paraId="5AB8A95A" w14:textId="5F42BF86" w:rsidR="00E26E55" w:rsidRPr="00E26E55" w:rsidRDefault="00E26E55" w:rsidP="00E26E55">
      <w:pPr>
        <w:numPr>
          <w:ilvl w:val="0"/>
          <w:numId w:val="19"/>
        </w:numPr>
        <w:spacing w:after="120" w:line="276" w:lineRule="auto"/>
        <w:ind w:left="426" w:hanging="11"/>
        <w:jc w:val="both"/>
        <w:rPr>
          <w:rFonts w:ascii="Calibri" w:eastAsia="Times New Roman" w:hAnsi="Calibri" w:cs="Calibri"/>
          <w:bCs/>
          <w:lang w:eastAsia="cs-CZ"/>
        </w:rPr>
      </w:pPr>
      <w:r w:rsidRPr="00E26E55">
        <w:rPr>
          <w:rFonts w:ascii="Calibri" w:eastAsia="Times New Roman" w:hAnsi="Calibri" w:cs="Calibri"/>
          <w:bCs/>
          <w:lang w:eastAsia="cs-CZ"/>
        </w:rPr>
        <w:t>Klatovská nemocnice</w:t>
      </w:r>
      <w:r w:rsidR="00DD08CD">
        <w:rPr>
          <w:rFonts w:ascii="Calibri" w:eastAsia="Times New Roman" w:hAnsi="Calibri" w:cs="Calibri"/>
          <w:bCs/>
          <w:lang w:eastAsia="cs-CZ"/>
        </w:rPr>
        <w:t>,</w:t>
      </w:r>
      <w:r w:rsidRPr="00E26E55">
        <w:rPr>
          <w:rFonts w:ascii="Calibri" w:eastAsia="Times New Roman" w:hAnsi="Calibri" w:cs="Calibri"/>
          <w:bCs/>
          <w:lang w:eastAsia="cs-CZ"/>
        </w:rPr>
        <w:t xml:space="preserve"> a.s., Plzeňská 929, PSČ 339 01 Klatovy II, IČO: 26360527</w:t>
      </w:r>
    </w:p>
    <w:p w14:paraId="7945C9C4" w14:textId="1EBA71F7" w:rsidR="00E26E55" w:rsidRPr="00E26E55" w:rsidRDefault="00E26E55" w:rsidP="00E26E55">
      <w:pPr>
        <w:spacing w:after="120" w:line="276" w:lineRule="auto"/>
        <w:ind w:left="426" w:hanging="11"/>
        <w:jc w:val="both"/>
        <w:rPr>
          <w:rFonts w:ascii="Calibri" w:eastAsia="Times New Roman" w:hAnsi="Calibri" w:cs="Calibri"/>
          <w:bCs/>
          <w:lang w:eastAsia="cs-CZ"/>
        </w:rPr>
      </w:pPr>
      <w:r w:rsidRPr="00E26E55">
        <w:rPr>
          <w:rFonts w:ascii="Calibri" w:eastAsia="Times New Roman" w:hAnsi="Calibri" w:cs="Calibri"/>
          <w:bCs/>
          <w:lang w:eastAsia="cs-CZ"/>
        </w:rPr>
        <w:t>•</w:t>
      </w:r>
      <w:r w:rsidRPr="00E26E55">
        <w:rPr>
          <w:rFonts w:ascii="Calibri" w:eastAsia="Times New Roman" w:hAnsi="Calibri" w:cs="Calibri"/>
          <w:bCs/>
          <w:lang w:eastAsia="cs-CZ"/>
        </w:rPr>
        <w:tab/>
        <w:t>Domažlická nemocnice</w:t>
      </w:r>
      <w:r w:rsidR="00DD08CD">
        <w:rPr>
          <w:rFonts w:ascii="Calibri" w:eastAsia="Times New Roman" w:hAnsi="Calibri" w:cs="Calibri"/>
          <w:bCs/>
          <w:lang w:eastAsia="cs-CZ"/>
        </w:rPr>
        <w:t>,</w:t>
      </w:r>
      <w:r w:rsidRPr="00E26E55">
        <w:rPr>
          <w:rFonts w:ascii="Calibri" w:eastAsia="Times New Roman" w:hAnsi="Calibri" w:cs="Calibri"/>
          <w:bCs/>
          <w:lang w:eastAsia="cs-CZ"/>
        </w:rPr>
        <w:t xml:space="preserve"> a.s., Kozinova 292, 344  22 Domažlice, IČO: 26361078</w:t>
      </w:r>
    </w:p>
    <w:p w14:paraId="055A6FE0" w14:textId="71B2D4FD" w:rsidR="00E26E55" w:rsidRPr="00E26E55" w:rsidRDefault="00E26E55" w:rsidP="00E26E55">
      <w:pPr>
        <w:spacing w:after="120" w:line="276" w:lineRule="auto"/>
        <w:ind w:left="426" w:hanging="11"/>
        <w:jc w:val="both"/>
        <w:rPr>
          <w:rFonts w:ascii="Calibri" w:eastAsia="Times New Roman" w:hAnsi="Calibri" w:cs="Calibri"/>
          <w:bCs/>
          <w:lang w:eastAsia="cs-CZ"/>
        </w:rPr>
      </w:pPr>
      <w:r w:rsidRPr="00E26E55">
        <w:rPr>
          <w:rFonts w:ascii="Calibri" w:eastAsia="Times New Roman" w:hAnsi="Calibri" w:cs="Calibri"/>
          <w:bCs/>
          <w:lang w:eastAsia="cs-CZ"/>
        </w:rPr>
        <w:t>•</w:t>
      </w:r>
      <w:r w:rsidRPr="00E26E55">
        <w:rPr>
          <w:rFonts w:ascii="Calibri" w:eastAsia="Times New Roman" w:hAnsi="Calibri" w:cs="Calibri"/>
          <w:bCs/>
          <w:lang w:eastAsia="cs-CZ"/>
        </w:rPr>
        <w:tab/>
        <w:t>Stodská nemocnice</w:t>
      </w:r>
      <w:r w:rsidR="00DD08CD">
        <w:rPr>
          <w:rFonts w:ascii="Calibri" w:eastAsia="Times New Roman" w:hAnsi="Calibri" w:cs="Calibri"/>
          <w:bCs/>
          <w:lang w:eastAsia="cs-CZ"/>
        </w:rPr>
        <w:t>,</w:t>
      </w:r>
      <w:r w:rsidRPr="00E26E55">
        <w:rPr>
          <w:rFonts w:ascii="Calibri" w:eastAsia="Times New Roman" w:hAnsi="Calibri" w:cs="Calibri"/>
          <w:bCs/>
          <w:lang w:eastAsia="cs-CZ"/>
        </w:rPr>
        <w:t xml:space="preserve"> a.s., Hradecká 600, 333 01 Stod, IČO: 26361086</w:t>
      </w:r>
    </w:p>
    <w:p w14:paraId="798287AA" w14:textId="74A1D9F4" w:rsidR="00E26E55" w:rsidRPr="00E26E55" w:rsidRDefault="00E26E55" w:rsidP="00E26E55">
      <w:pPr>
        <w:spacing w:after="120" w:line="276" w:lineRule="auto"/>
        <w:ind w:left="426" w:hanging="11"/>
        <w:jc w:val="both"/>
        <w:rPr>
          <w:rFonts w:ascii="Calibri" w:eastAsia="Times New Roman" w:hAnsi="Calibri" w:cs="Calibri"/>
          <w:bCs/>
          <w:lang w:eastAsia="cs-CZ"/>
        </w:rPr>
      </w:pPr>
      <w:r w:rsidRPr="00E26E55">
        <w:rPr>
          <w:rFonts w:ascii="Calibri" w:eastAsia="Times New Roman" w:hAnsi="Calibri" w:cs="Calibri"/>
          <w:bCs/>
          <w:lang w:eastAsia="cs-CZ"/>
        </w:rPr>
        <w:t>•</w:t>
      </w:r>
      <w:r w:rsidRPr="00E26E55">
        <w:rPr>
          <w:rFonts w:ascii="Calibri" w:eastAsia="Times New Roman" w:hAnsi="Calibri" w:cs="Calibri"/>
          <w:bCs/>
          <w:lang w:eastAsia="cs-CZ"/>
        </w:rPr>
        <w:tab/>
        <w:t>Rokycanská Nemocnice</w:t>
      </w:r>
      <w:r w:rsidR="00DD08CD">
        <w:rPr>
          <w:rFonts w:ascii="Calibri" w:eastAsia="Times New Roman" w:hAnsi="Calibri" w:cs="Calibri"/>
          <w:bCs/>
          <w:lang w:eastAsia="cs-CZ"/>
        </w:rPr>
        <w:t>,</w:t>
      </w:r>
      <w:r w:rsidRPr="00E26E55">
        <w:rPr>
          <w:rFonts w:ascii="Calibri" w:eastAsia="Times New Roman" w:hAnsi="Calibri" w:cs="Calibri"/>
          <w:bCs/>
          <w:lang w:eastAsia="cs-CZ"/>
        </w:rPr>
        <w:t xml:space="preserve"> a.s., Voldušská 750, 337 22 Rokycany, IČO: 26360900</w:t>
      </w:r>
    </w:p>
    <w:p w14:paraId="1F9B73CE" w14:textId="00336326" w:rsidR="00E26E55" w:rsidRPr="00E26E55" w:rsidRDefault="00E26E55" w:rsidP="00E26E55">
      <w:pPr>
        <w:spacing w:after="120" w:line="276" w:lineRule="auto"/>
        <w:ind w:left="426" w:hanging="11"/>
        <w:jc w:val="both"/>
        <w:rPr>
          <w:rFonts w:ascii="Calibri" w:eastAsia="Times New Roman" w:hAnsi="Calibri" w:cs="Calibri"/>
          <w:bCs/>
          <w:lang w:eastAsia="cs-CZ"/>
        </w:rPr>
      </w:pPr>
      <w:r w:rsidRPr="00E26E55">
        <w:rPr>
          <w:rFonts w:ascii="Calibri" w:eastAsia="Times New Roman" w:hAnsi="Calibri" w:cs="Calibri"/>
          <w:bCs/>
          <w:lang w:eastAsia="cs-CZ"/>
        </w:rPr>
        <w:t>•</w:t>
      </w:r>
      <w:r w:rsidRPr="00E26E55">
        <w:rPr>
          <w:rFonts w:ascii="Calibri" w:eastAsia="Times New Roman" w:hAnsi="Calibri" w:cs="Calibri"/>
          <w:bCs/>
          <w:lang w:eastAsia="cs-CZ"/>
        </w:rPr>
        <w:tab/>
        <w:t>Nemocnice následné péče LDN Horažďovice</w:t>
      </w:r>
      <w:r w:rsidR="00DD08CD">
        <w:rPr>
          <w:rFonts w:ascii="Calibri" w:eastAsia="Times New Roman" w:hAnsi="Calibri" w:cs="Calibri"/>
          <w:bCs/>
          <w:lang w:eastAsia="cs-CZ"/>
        </w:rPr>
        <w:t>,</w:t>
      </w:r>
      <w:r w:rsidRPr="00E26E55">
        <w:rPr>
          <w:rFonts w:ascii="Calibri" w:eastAsia="Times New Roman" w:hAnsi="Calibri" w:cs="Calibri"/>
          <w:bCs/>
          <w:lang w:eastAsia="cs-CZ"/>
        </w:rPr>
        <w:t xml:space="preserve"> s.r.o., Blatenská 314, 341 01 Horažďovice, IČO: 26360870</w:t>
      </w:r>
    </w:p>
    <w:p w14:paraId="29B660CE" w14:textId="4E6F65DF" w:rsidR="00E26E55" w:rsidRPr="00E26E55" w:rsidRDefault="00E26E55" w:rsidP="00E26E55">
      <w:pPr>
        <w:spacing w:after="120" w:line="276" w:lineRule="auto"/>
        <w:ind w:left="426" w:hanging="11"/>
        <w:jc w:val="both"/>
        <w:rPr>
          <w:rFonts w:ascii="Calibri" w:eastAsia="Times New Roman" w:hAnsi="Calibri" w:cs="Calibri"/>
          <w:bCs/>
          <w:lang w:eastAsia="cs-CZ"/>
        </w:rPr>
      </w:pPr>
      <w:r w:rsidRPr="00E26E55">
        <w:rPr>
          <w:rFonts w:ascii="Calibri" w:eastAsia="Times New Roman" w:hAnsi="Calibri" w:cs="Calibri"/>
          <w:bCs/>
          <w:lang w:eastAsia="cs-CZ"/>
        </w:rPr>
        <w:t>•</w:t>
      </w:r>
      <w:r w:rsidRPr="00E26E55">
        <w:rPr>
          <w:rFonts w:ascii="Calibri" w:eastAsia="Times New Roman" w:hAnsi="Calibri" w:cs="Calibri"/>
          <w:bCs/>
          <w:lang w:eastAsia="cs-CZ"/>
        </w:rPr>
        <w:tab/>
        <w:t>Nemocnice následné péče Svatá Anna</w:t>
      </w:r>
      <w:r w:rsidR="00DD08CD">
        <w:rPr>
          <w:rFonts w:ascii="Calibri" w:eastAsia="Times New Roman" w:hAnsi="Calibri" w:cs="Calibri"/>
          <w:bCs/>
          <w:lang w:eastAsia="cs-CZ"/>
        </w:rPr>
        <w:t>,</w:t>
      </w:r>
      <w:r w:rsidRPr="00E26E55">
        <w:rPr>
          <w:rFonts w:ascii="Calibri" w:eastAsia="Times New Roman" w:hAnsi="Calibri" w:cs="Calibri"/>
          <w:bCs/>
          <w:lang w:eastAsia="cs-CZ"/>
        </w:rPr>
        <w:t xml:space="preserve"> s.r.o., Kyjovská 607, 348 15 Planá, IČO: 26360896</w:t>
      </w:r>
    </w:p>
    <w:p w14:paraId="6D2ADAAB" w14:textId="2937D1E0" w:rsidR="003C1A0B" w:rsidRDefault="00EF2723" w:rsidP="00E26E5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604B93">
        <w:rPr>
          <w:rFonts w:ascii="Calibri" w:eastAsia="Times New Roman" w:hAnsi="Calibri" w:cs="Calibri"/>
          <w:lang w:eastAsia="cs-CZ"/>
        </w:rPr>
        <w:t>Dílčí zadav</w:t>
      </w:r>
      <w:r w:rsidR="00225D91">
        <w:rPr>
          <w:rFonts w:ascii="Calibri" w:eastAsia="Times New Roman" w:hAnsi="Calibri" w:cs="Calibri"/>
          <w:lang w:eastAsia="cs-CZ"/>
        </w:rPr>
        <w:t>atelé přistoupí k Rámcové kupní smlouvě</w:t>
      </w:r>
      <w:r w:rsidR="00E15802">
        <w:rPr>
          <w:rFonts w:ascii="Calibri" w:eastAsia="Times New Roman" w:hAnsi="Calibri" w:cs="Calibri"/>
          <w:lang w:eastAsia="cs-CZ"/>
        </w:rPr>
        <w:t xml:space="preserve"> (dále jen „</w:t>
      </w:r>
      <w:r w:rsidR="008F0666">
        <w:rPr>
          <w:rFonts w:ascii="Calibri" w:eastAsia="Times New Roman" w:hAnsi="Calibri" w:cs="Calibri"/>
          <w:lang w:eastAsia="cs-CZ"/>
        </w:rPr>
        <w:t>S</w:t>
      </w:r>
      <w:r w:rsidR="00E15802">
        <w:rPr>
          <w:rFonts w:ascii="Calibri" w:eastAsia="Times New Roman" w:hAnsi="Calibri" w:cs="Calibri"/>
          <w:lang w:eastAsia="cs-CZ"/>
        </w:rPr>
        <w:t>mlouva“)</w:t>
      </w:r>
      <w:r w:rsidRPr="00604B93">
        <w:rPr>
          <w:rFonts w:ascii="Calibri" w:eastAsia="Times New Roman" w:hAnsi="Calibri" w:cs="Calibri"/>
          <w:lang w:eastAsia="cs-CZ"/>
        </w:rPr>
        <w:t>, kterou uzavře centrální zadavatel s vybraným dodavatelem, a budou pořizovat dodávky za stejné ceny a stej</w:t>
      </w:r>
      <w:r w:rsidR="00225D91">
        <w:rPr>
          <w:rFonts w:ascii="Calibri" w:eastAsia="Times New Roman" w:hAnsi="Calibri" w:cs="Calibri"/>
          <w:lang w:eastAsia="cs-CZ"/>
        </w:rPr>
        <w:t>ných podmínek jako v této Smlouvě</w:t>
      </w:r>
      <w:r w:rsidRPr="00604B93">
        <w:rPr>
          <w:rFonts w:ascii="Calibri" w:eastAsia="Times New Roman" w:hAnsi="Calibri" w:cs="Calibri"/>
          <w:lang w:eastAsia="cs-CZ"/>
        </w:rPr>
        <w:t xml:space="preserve">. </w:t>
      </w:r>
    </w:p>
    <w:p w14:paraId="5647067E" w14:textId="7B5360EF" w:rsidR="003C1A0B" w:rsidRPr="00F57CC2" w:rsidRDefault="003C1A0B" w:rsidP="00EB5099">
      <w:pPr>
        <w:pStyle w:val="Nadpis1"/>
      </w:pPr>
      <w:bookmarkStart w:id="1" w:name="_Toc179958150"/>
      <w:r w:rsidRPr="000C6316">
        <w:t>VEŘEJNÁ ZAKÁZKA</w:t>
      </w:r>
      <w:bookmarkEnd w:id="1"/>
    </w:p>
    <w:p w14:paraId="4C3E63FC" w14:textId="57372B8D" w:rsidR="00EF2723" w:rsidRPr="0079631D" w:rsidRDefault="00EF2723" w:rsidP="0079631D">
      <w:pPr>
        <w:pStyle w:val="Nadpis2"/>
      </w:pPr>
      <w:bookmarkStart w:id="2" w:name="_Toc179958151"/>
      <w:r w:rsidRPr="0079631D">
        <w:t>Veřejná zakázka</w:t>
      </w:r>
      <w:bookmarkEnd w:id="2"/>
    </w:p>
    <w:p w14:paraId="108EA672" w14:textId="6175146E" w:rsidR="00EF2723" w:rsidRPr="00E17FEE" w:rsidRDefault="00EF2723" w:rsidP="00B513D3">
      <w:pPr>
        <w:pStyle w:val="Bezmezer"/>
        <w:jc w:val="both"/>
        <w:rPr>
          <w:lang w:eastAsia="cs-CZ"/>
        </w:rPr>
      </w:pPr>
      <w:r w:rsidRPr="00490D75">
        <w:rPr>
          <w:lang w:eastAsia="cs-CZ"/>
        </w:rPr>
        <w:t xml:space="preserve">Název: </w:t>
      </w:r>
      <w:r w:rsidR="00E17FEE" w:rsidRPr="00E17FEE">
        <w:rPr>
          <w:b/>
          <w:lang w:eastAsia="cs-CZ"/>
        </w:rPr>
        <w:t>VÝZVA Č.</w:t>
      </w:r>
      <w:r w:rsidR="00562B1C" w:rsidRPr="00562B1C">
        <w:rPr>
          <w:b/>
          <w:lang w:eastAsia="cs-CZ"/>
        </w:rPr>
        <w:t xml:space="preserve"> </w:t>
      </w:r>
      <w:r w:rsidR="00E26E55">
        <w:rPr>
          <w:b/>
          <w:lang w:eastAsia="cs-CZ"/>
        </w:rPr>
        <w:t>1</w:t>
      </w:r>
      <w:r w:rsidR="00562B1C" w:rsidRPr="00562B1C">
        <w:rPr>
          <w:b/>
          <w:lang w:eastAsia="cs-CZ"/>
        </w:rPr>
        <w:t xml:space="preserve"> - </w:t>
      </w:r>
      <w:r w:rsidR="00B513D3" w:rsidRPr="00B513D3">
        <w:rPr>
          <w:b/>
          <w:lang w:eastAsia="cs-CZ"/>
        </w:rPr>
        <w:t xml:space="preserve">DYNAMICKÝ NÁKUPNÍ SYSTÉM - </w:t>
      </w:r>
      <w:r w:rsidR="00685919" w:rsidRPr="00685919">
        <w:rPr>
          <w:b/>
          <w:lang w:eastAsia="cs-CZ"/>
        </w:rPr>
        <w:t xml:space="preserve">INKONTINENČNÍ POMŮCKY A DĚTSKÉ PLENY PRO NEMOCNICE PLZEŇSKÉHO KRAJE </w:t>
      </w:r>
    </w:p>
    <w:p w14:paraId="181B6F64" w14:textId="267D923A" w:rsidR="00E17FEE" w:rsidRPr="00630D1A" w:rsidRDefault="00E17FEE" w:rsidP="00E17FEE">
      <w:pPr>
        <w:pStyle w:val="Bezmezer"/>
        <w:spacing w:before="240"/>
        <w:jc w:val="both"/>
        <w:rPr>
          <w:b/>
          <w:lang w:eastAsia="cs-CZ"/>
        </w:rPr>
      </w:pPr>
      <w:r w:rsidRPr="003C1A0B">
        <w:rPr>
          <w:b/>
          <w:u w:val="single"/>
          <w:lang w:eastAsia="cs-CZ"/>
        </w:rPr>
        <w:t xml:space="preserve">KATEGORIE 1 </w:t>
      </w:r>
      <w:r w:rsidR="00B513D3" w:rsidRPr="00630D1A">
        <w:rPr>
          <w:b/>
          <w:lang w:eastAsia="cs-CZ"/>
        </w:rPr>
        <w:t>–</w:t>
      </w:r>
      <w:r w:rsidRPr="00630D1A">
        <w:rPr>
          <w:b/>
          <w:lang w:eastAsia="cs-CZ"/>
        </w:rPr>
        <w:t xml:space="preserve"> </w:t>
      </w:r>
      <w:r w:rsidR="00E56A98" w:rsidRPr="00E56A98">
        <w:rPr>
          <w:b/>
          <w:bCs/>
          <w:sz w:val="24"/>
          <w:szCs w:val="24"/>
          <w:lang w:eastAsia="cs-CZ"/>
        </w:rPr>
        <w:t>PLENKOVÉ KALHOTKY PRO DOSPĚLÉ DENNÍ A NOČNÍ</w:t>
      </w:r>
    </w:p>
    <w:p w14:paraId="5D392243" w14:textId="77777777" w:rsidR="00E17FEE" w:rsidRPr="00630D1A" w:rsidRDefault="00E17FEE" w:rsidP="00EF2723">
      <w:pPr>
        <w:pStyle w:val="Bezmezer"/>
        <w:jc w:val="both"/>
        <w:rPr>
          <w:lang w:eastAsia="cs-CZ"/>
        </w:rPr>
      </w:pPr>
    </w:p>
    <w:p w14:paraId="244B935F" w14:textId="0C810311" w:rsidR="00D50515" w:rsidRDefault="00604B93" w:rsidP="00EF2723">
      <w:pPr>
        <w:pStyle w:val="Bezmezer"/>
        <w:jc w:val="both"/>
        <w:rPr>
          <w:lang w:eastAsia="cs-CZ"/>
        </w:rPr>
      </w:pPr>
      <w:r w:rsidRPr="00DA6F77">
        <w:rPr>
          <w:lang w:eastAsia="cs-CZ"/>
        </w:rPr>
        <w:t>C</w:t>
      </w:r>
      <w:r w:rsidR="00DF0B47" w:rsidRPr="00DA6F77">
        <w:rPr>
          <w:lang w:eastAsia="cs-CZ"/>
        </w:rPr>
        <w:t>entrální</w:t>
      </w:r>
      <w:r w:rsidR="00001072" w:rsidRPr="00604B93">
        <w:rPr>
          <w:lang w:eastAsia="cs-CZ"/>
        </w:rPr>
        <w:t xml:space="preserve"> veřejná zakázka </w:t>
      </w:r>
      <w:r w:rsidR="00EF2723" w:rsidRPr="00604B93">
        <w:rPr>
          <w:lang w:eastAsia="cs-CZ"/>
        </w:rPr>
        <w:t>na dodávk</w:t>
      </w:r>
      <w:r w:rsidRPr="00604B93">
        <w:rPr>
          <w:lang w:eastAsia="cs-CZ"/>
        </w:rPr>
        <w:t xml:space="preserve">y </w:t>
      </w:r>
      <w:r w:rsidR="00001072" w:rsidRPr="00604B93">
        <w:rPr>
          <w:lang w:eastAsia="cs-CZ"/>
        </w:rPr>
        <w:t>zadávan</w:t>
      </w:r>
      <w:r w:rsidR="00BD18BD" w:rsidRPr="00604B93">
        <w:rPr>
          <w:lang w:eastAsia="cs-CZ"/>
        </w:rPr>
        <w:t>á</w:t>
      </w:r>
      <w:r w:rsidR="00001072" w:rsidRPr="00604B93">
        <w:rPr>
          <w:lang w:eastAsia="cs-CZ"/>
        </w:rPr>
        <w:t xml:space="preserve"> v</w:t>
      </w:r>
      <w:r w:rsidRPr="00604B93">
        <w:rPr>
          <w:lang w:eastAsia="cs-CZ"/>
        </w:rPr>
        <w:t> dynamickém nákupním systému</w:t>
      </w:r>
      <w:r w:rsidR="00001072" w:rsidRPr="00604B93">
        <w:rPr>
          <w:lang w:eastAsia="cs-CZ"/>
        </w:rPr>
        <w:t xml:space="preserve"> dle § </w:t>
      </w:r>
      <w:r w:rsidRPr="00604B93">
        <w:rPr>
          <w:lang w:eastAsia="cs-CZ"/>
        </w:rPr>
        <w:t xml:space="preserve">141 odst. 1 ZZVZ. </w:t>
      </w:r>
      <w:r w:rsidR="00EF2723" w:rsidRPr="00604B93">
        <w:rPr>
          <w:lang w:eastAsia="cs-CZ"/>
        </w:rPr>
        <w:t>S vybraným dodavat</w:t>
      </w:r>
      <w:r w:rsidR="00225D91">
        <w:rPr>
          <w:lang w:eastAsia="cs-CZ"/>
        </w:rPr>
        <w:t xml:space="preserve">elem bude uzavřena </w:t>
      </w:r>
      <w:r w:rsidR="00562B1C">
        <w:rPr>
          <w:lang w:eastAsia="cs-CZ"/>
        </w:rPr>
        <w:t>S</w:t>
      </w:r>
      <w:r w:rsidR="00225D91">
        <w:rPr>
          <w:lang w:eastAsia="cs-CZ"/>
        </w:rPr>
        <w:t>mlouv</w:t>
      </w:r>
      <w:r w:rsidR="00EF2723" w:rsidRPr="00604B93">
        <w:rPr>
          <w:lang w:eastAsia="cs-CZ"/>
        </w:rPr>
        <w:t>a</w:t>
      </w:r>
      <w:r w:rsidR="00DF0B47" w:rsidRPr="00604B93">
        <w:rPr>
          <w:lang w:eastAsia="cs-CZ"/>
        </w:rPr>
        <w:t>, jejímž předmětem bude plnění předmětné veřejné zakázky.</w:t>
      </w:r>
    </w:p>
    <w:p w14:paraId="1953FA67" w14:textId="1DE653BA" w:rsidR="00EF2723" w:rsidRDefault="00EF2723" w:rsidP="000C6316">
      <w:pPr>
        <w:pStyle w:val="Bezmezer"/>
        <w:spacing w:before="120"/>
        <w:jc w:val="both"/>
        <w:rPr>
          <w:lang w:eastAsia="cs-CZ"/>
        </w:rPr>
      </w:pPr>
      <w:r w:rsidRPr="002F6406">
        <w:rPr>
          <w:b/>
          <w:u w:val="single"/>
          <w:lang w:eastAsia="cs-CZ"/>
        </w:rPr>
        <w:t>Detail veřejné zakázky v E-ZAK</w:t>
      </w:r>
      <w:r>
        <w:rPr>
          <w:lang w:eastAsia="cs-CZ"/>
        </w:rPr>
        <w:t xml:space="preserve">: </w:t>
      </w:r>
      <w:r w:rsidR="00685919" w:rsidRPr="00685919">
        <w:rPr>
          <w:rStyle w:val="Hypertextovodkaz"/>
          <w:lang w:eastAsia="cs-CZ"/>
        </w:rPr>
        <w:t>https://ezak.cnpk.cz/contract_display_12096.html</w:t>
      </w:r>
    </w:p>
    <w:p w14:paraId="45BA0873" w14:textId="77777777" w:rsidR="00EF2723" w:rsidRDefault="00EF2723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>Na této adrese dodavatelé naleznou zadávací podmínky, vysvětlení zadávací dokumentace a další informace o veřejné zakázce. V tomto detailu se podávají elektronické nabídky.</w:t>
      </w:r>
    </w:p>
    <w:p w14:paraId="0CE3051D" w14:textId="3B7FB836" w:rsidR="00EF2723" w:rsidRDefault="00EF2723" w:rsidP="000C6316">
      <w:pPr>
        <w:pStyle w:val="Bezmezer"/>
        <w:spacing w:before="120"/>
        <w:jc w:val="both"/>
        <w:rPr>
          <w:lang w:eastAsia="cs-CZ"/>
        </w:rPr>
      </w:pPr>
      <w:r w:rsidRPr="00F0394D">
        <w:rPr>
          <w:b/>
          <w:highlight w:val="yellow"/>
          <w:u w:val="single"/>
          <w:lang w:eastAsia="cs-CZ"/>
        </w:rPr>
        <w:t xml:space="preserve">Předpokládaná hodnota VZ činí </w:t>
      </w:r>
      <w:r w:rsidR="00F0394D" w:rsidRPr="00F0394D">
        <w:rPr>
          <w:b/>
          <w:highlight w:val="yellow"/>
          <w:u w:val="single"/>
          <w:lang w:eastAsia="cs-CZ"/>
        </w:rPr>
        <w:t xml:space="preserve">2 656 040,00 </w:t>
      </w:r>
      <w:r w:rsidR="00DD08CD" w:rsidRPr="00F0394D">
        <w:rPr>
          <w:b/>
          <w:highlight w:val="yellow"/>
          <w:u w:val="single"/>
          <w:lang w:eastAsia="cs-CZ"/>
        </w:rPr>
        <w:t xml:space="preserve">Kč </w:t>
      </w:r>
      <w:r w:rsidRPr="00F0394D">
        <w:rPr>
          <w:b/>
          <w:highlight w:val="yellow"/>
          <w:u w:val="single"/>
          <w:lang w:eastAsia="cs-CZ"/>
        </w:rPr>
        <w:t xml:space="preserve">bez DPH za </w:t>
      </w:r>
      <w:r w:rsidR="00DF0B47" w:rsidRPr="00F0394D">
        <w:rPr>
          <w:b/>
          <w:highlight w:val="yellow"/>
          <w:u w:val="single"/>
          <w:lang w:eastAsia="cs-CZ"/>
        </w:rPr>
        <w:t>celou dobu</w:t>
      </w:r>
      <w:r w:rsidRPr="00F0394D">
        <w:rPr>
          <w:b/>
          <w:highlight w:val="yellow"/>
          <w:u w:val="single"/>
          <w:lang w:eastAsia="cs-CZ"/>
        </w:rPr>
        <w:t xml:space="preserve"> plnění.</w:t>
      </w:r>
      <w:r w:rsidRPr="00604B93">
        <w:rPr>
          <w:lang w:eastAsia="cs-CZ"/>
        </w:rPr>
        <w:t xml:space="preserve"> </w:t>
      </w:r>
    </w:p>
    <w:p w14:paraId="7A53A6DE" w14:textId="3FF7B02F" w:rsidR="00001072" w:rsidRDefault="00001072" w:rsidP="000C6316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>Zpracovateli Zadávací dokumentace jsou zaměstnanci centrálního zadavatele.</w:t>
      </w:r>
    </w:p>
    <w:p w14:paraId="6BAEB0FE" w14:textId="196A9130" w:rsidR="00EF2723" w:rsidRPr="001B5CD3" w:rsidRDefault="00EF2723" w:rsidP="000C6316">
      <w:pPr>
        <w:pStyle w:val="Nadpis2"/>
        <w:rPr>
          <w:lang w:eastAsia="cs-CZ"/>
        </w:rPr>
      </w:pPr>
      <w:bookmarkStart w:id="3" w:name="_Toc179958152"/>
      <w:r w:rsidRPr="001B5CD3">
        <w:rPr>
          <w:lang w:eastAsia="cs-CZ"/>
        </w:rPr>
        <w:t>Předmět veřejné zakázky</w:t>
      </w:r>
      <w:bookmarkEnd w:id="3"/>
    </w:p>
    <w:p w14:paraId="27C8F40A" w14:textId="543D7C6D" w:rsidR="00EF2723" w:rsidRDefault="00EF2723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>Předmětem této veřejné zakáz</w:t>
      </w:r>
      <w:r w:rsidR="0080125B">
        <w:rPr>
          <w:lang w:eastAsia="cs-CZ"/>
        </w:rPr>
        <w:t xml:space="preserve">ky jsou </w:t>
      </w:r>
      <w:r w:rsidR="004E1F0C">
        <w:rPr>
          <w:lang w:eastAsia="cs-CZ"/>
        </w:rPr>
        <w:t xml:space="preserve">průběžné dodávky </w:t>
      </w:r>
      <w:r w:rsidR="00002D63" w:rsidRPr="00002D63">
        <w:rPr>
          <w:lang w:eastAsia="cs-CZ"/>
        </w:rPr>
        <w:t xml:space="preserve">denních a nočních </w:t>
      </w:r>
      <w:r w:rsidR="00DD08CD">
        <w:rPr>
          <w:lang w:eastAsia="cs-CZ"/>
        </w:rPr>
        <w:t xml:space="preserve">plenkových kalhotek pro dospělé </w:t>
      </w:r>
      <w:r>
        <w:rPr>
          <w:lang w:eastAsia="cs-CZ"/>
        </w:rPr>
        <w:t xml:space="preserve">pro centrálního zadavatele a </w:t>
      </w:r>
      <w:r w:rsidR="004E1F0C">
        <w:rPr>
          <w:lang w:eastAsia="cs-CZ"/>
        </w:rPr>
        <w:t xml:space="preserve">dílčí zadavatele, kterými jsou další </w:t>
      </w:r>
      <w:r w:rsidR="003C1A0B">
        <w:rPr>
          <w:lang w:eastAsia="cs-CZ"/>
        </w:rPr>
        <w:t>nemocnice</w:t>
      </w:r>
      <w:r w:rsidR="00001072">
        <w:rPr>
          <w:lang w:eastAsia="cs-CZ"/>
        </w:rPr>
        <w:t xml:space="preserve"> </w:t>
      </w:r>
      <w:r w:rsidR="00604B93">
        <w:rPr>
          <w:lang w:eastAsia="cs-CZ"/>
        </w:rPr>
        <w:t>Plzeňského kraje</w:t>
      </w:r>
      <w:r w:rsidR="00470F1F">
        <w:rPr>
          <w:lang w:eastAsia="cs-CZ"/>
        </w:rPr>
        <w:t xml:space="preserve"> po dobu 12 měsíců</w:t>
      </w:r>
      <w:r w:rsidR="00FC5F9C">
        <w:rPr>
          <w:lang w:eastAsia="cs-CZ"/>
        </w:rPr>
        <w:t>.</w:t>
      </w:r>
      <w:r>
        <w:rPr>
          <w:lang w:eastAsia="cs-CZ"/>
        </w:rPr>
        <w:t xml:space="preserve"> </w:t>
      </w:r>
    </w:p>
    <w:p w14:paraId="4D039996" w14:textId="77777777" w:rsidR="004E1F0C" w:rsidRDefault="004E1F0C" w:rsidP="00EF2723">
      <w:pPr>
        <w:pStyle w:val="Bezmezer"/>
        <w:jc w:val="both"/>
        <w:rPr>
          <w:lang w:eastAsia="cs-CZ"/>
        </w:rPr>
      </w:pPr>
    </w:p>
    <w:p w14:paraId="1E27E0A4" w14:textId="639D9D9F" w:rsidR="004E1F0C" w:rsidRDefault="00DD08CD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Plenkové kalhotky </w:t>
      </w:r>
      <w:r w:rsidR="00630D1A">
        <w:rPr>
          <w:lang w:eastAsia="cs-CZ"/>
        </w:rPr>
        <w:t>jsou</w:t>
      </w:r>
      <w:r w:rsidR="004E1F0C" w:rsidRPr="004E1F0C">
        <w:rPr>
          <w:lang w:eastAsia="cs-CZ"/>
        </w:rPr>
        <w:t xml:space="preserve"> určen</w:t>
      </w:r>
      <w:r w:rsidR="00630D1A">
        <w:rPr>
          <w:lang w:eastAsia="cs-CZ"/>
        </w:rPr>
        <w:t>y</w:t>
      </w:r>
      <w:r w:rsidR="004E1F0C" w:rsidRPr="004E1F0C">
        <w:rPr>
          <w:lang w:eastAsia="cs-CZ"/>
        </w:rPr>
        <w:t xml:space="preserve"> pro použití ve zdravotnických zařízeních a musí splňovat veškeré podmínky stanovené pro </w:t>
      </w:r>
      <w:r w:rsidR="00911043">
        <w:rPr>
          <w:lang w:eastAsia="cs-CZ"/>
        </w:rPr>
        <w:t>jejich</w:t>
      </w:r>
      <w:r w:rsidR="00911043" w:rsidRPr="004E1F0C">
        <w:rPr>
          <w:lang w:eastAsia="cs-CZ"/>
        </w:rPr>
        <w:t xml:space="preserve"> </w:t>
      </w:r>
      <w:r w:rsidR="004E1F0C" w:rsidRPr="004E1F0C">
        <w:rPr>
          <w:lang w:eastAsia="cs-CZ"/>
        </w:rPr>
        <w:t>výrobu, distribuci a užívání na daném trhu dle zvláštních právních předpisů</w:t>
      </w:r>
      <w:r w:rsidR="004E1F0C">
        <w:rPr>
          <w:lang w:eastAsia="cs-CZ"/>
        </w:rPr>
        <w:t>.</w:t>
      </w:r>
    </w:p>
    <w:p w14:paraId="339E19A9" w14:textId="6D19E0F4" w:rsidR="004E1F0C" w:rsidRDefault="004E1F0C" w:rsidP="004E1F0C">
      <w:pPr>
        <w:pStyle w:val="Bezmezer"/>
        <w:spacing w:after="240"/>
        <w:jc w:val="both"/>
        <w:rPr>
          <w:lang w:eastAsia="cs-CZ"/>
        </w:rPr>
      </w:pPr>
      <w:r w:rsidRPr="004E1F0C">
        <w:rPr>
          <w:lang w:eastAsia="cs-CZ"/>
        </w:rPr>
        <w:t xml:space="preserve">Zboží musí být označeno značkou shody a musí být z hlediska právních předpisů způsobilé a vhodné pro použití </w:t>
      </w:r>
      <w:r>
        <w:rPr>
          <w:lang w:eastAsia="cs-CZ"/>
        </w:rPr>
        <w:t>při poskytování zdravotní péče.</w:t>
      </w:r>
    </w:p>
    <w:p w14:paraId="534B44B5" w14:textId="3F17AB7D" w:rsidR="004E1F0C" w:rsidRDefault="004E1F0C" w:rsidP="00EF2723">
      <w:pPr>
        <w:pStyle w:val="Bezmezer"/>
        <w:jc w:val="both"/>
        <w:rPr>
          <w:lang w:eastAsia="cs-CZ"/>
        </w:rPr>
      </w:pPr>
      <w:r w:rsidRPr="004E1F0C">
        <w:rPr>
          <w:lang w:eastAsia="cs-CZ"/>
        </w:rPr>
        <w:t>Zadavatel požaduje, aby všechny druhy a typy dodávaného zboží byly dodávány v originálním obchodním balení.</w:t>
      </w:r>
    </w:p>
    <w:p w14:paraId="6346EF89" w14:textId="33A1D234" w:rsidR="00EF2723" w:rsidRDefault="00EF2723" w:rsidP="000C6316">
      <w:pPr>
        <w:pStyle w:val="Bezmezer"/>
        <w:spacing w:before="120"/>
        <w:jc w:val="both"/>
        <w:rPr>
          <w:lang w:eastAsia="cs-CZ"/>
        </w:rPr>
      </w:pPr>
      <w:r w:rsidRPr="003C1A0B">
        <w:rPr>
          <w:lang w:eastAsia="cs-CZ"/>
        </w:rPr>
        <w:t>Dodávky</w:t>
      </w:r>
      <w:r w:rsidRPr="00604B93">
        <w:rPr>
          <w:lang w:eastAsia="cs-CZ"/>
        </w:rPr>
        <w:t xml:space="preserve"> budou poskytovány na základě objednávek podle aktuálních potřeb příslušného dílčího zadavatele. Centrální zadavatel uzavře s vybra</w:t>
      </w:r>
      <w:r w:rsidR="00C16797">
        <w:rPr>
          <w:lang w:eastAsia="cs-CZ"/>
        </w:rPr>
        <w:t xml:space="preserve">ným dodavatelem </w:t>
      </w:r>
      <w:r w:rsidR="004B1EA6">
        <w:rPr>
          <w:rFonts w:ascii="Calibri" w:eastAsia="Times New Roman" w:hAnsi="Calibri" w:cs="Calibri"/>
          <w:lang w:eastAsia="cs-CZ"/>
        </w:rPr>
        <w:t>Smlouvu</w:t>
      </w:r>
      <w:r w:rsidR="004B1EA6" w:rsidRPr="00604B93">
        <w:rPr>
          <w:lang w:eastAsia="cs-CZ"/>
        </w:rPr>
        <w:t xml:space="preserve"> </w:t>
      </w:r>
      <w:r w:rsidRPr="00604B93">
        <w:rPr>
          <w:lang w:eastAsia="cs-CZ"/>
        </w:rPr>
        <w:t xml:space="preserve">ve znění Přílohy č. </w:t>
      </w:r>
      <w:r w:rsidR="00685919">
        <w:rPr>
          <w:lang w:eastAsia="cs-CZ"/>
        </w:rPr>
        <w:t>2</w:t>
      </w:r>
      <w:r w:rsidRPr="00604B93">
        <w:rPr>
          <w:lang w:eastAsia="cs-CZ"/>
        </w:rPr>
        <w:t xml:space="preserve">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 w:rsidRPr="00604B93">
        <w:rPr>
          <w:lang w:eastAsia="cs-CZ"/>
        </w:rPr>
        <w:t>, ke kter</w:t>
      </w:r>
      <w:r w:rsidR="004F2F36">
        <w:rPr>
          <w:lang w:eastAsia="cs-CZ"/>
        </w:rPr>
        <w:t xml:space="preserve">é přistoupí dílčí zadavatelé </w:t>
      </w:r>
      <w:r w:rsidR="003C1A0B">
        <w:rPr>
          <w:lang w:eastAsia="cs-CZ"/>
        </w:rPr>
        <w:t xml:space="preserve"> - nemocnice </w:t>
      </w:r>
      <w:r w:rsidR="004F2F36">
        <w:rPr>
          <w:lang w:eastAsia="cs-CZ"/>
        </w:rPr>
        <w:t xml:space="preserve">Plzeňského kraje. </w:t>
      </w:r>
    </w:p>
    <w:p w14:paraId="6DDF713F" w14:textId="1DB5250C" w:rsidR="00EF2723" w:rsidRDefault="00EF2723" w:rsidP="000C6316">
      <w:pPr>
        <w:pStyle w:val="Bezmezer"/>
        <w:spacing w:before="120"/>
        <w:jc w:val="both"/>
        <w:rPr>
          <w:lang w:eastAsia="cs-CZ"/>
        </w:rPr>
      </w:pPr>
      <w:r w:rsidRPr="00604B93">
        <w:rPr>
          <w:lang w:eastAsia="cs-CZ"/>
        </w:rPr>
        <w:lastRenderedPageBreak/>
        <w:t>Předpokládaný objem dodávek</w:t>
      </w:r>
      <w:r w:rsidR="00604B93" w:rsidRPr="00604B93">
        <w:rPr>
          <w:lang w:eastAsia="cs-CZ"/>
        </w:rPr>
        <w:t xml:space="preserve"> je</w:t>
      </w:r>
      <w:r w:rsidRPr="00604B93">
        <w:rPr>
          <w:lang w:eastAsia="cs-CZ"/>
        </w:rPr>
        <w:t xml:space="preserve"> pouze orientační, skutečná spotřeba se může lišit.</w:t>
      </w:r>
      <w:r>
        <w:rPr>
          <w:lang w:eastAsia="cs-CZ"/>
        </w:rPr>
        <w:t xml:space="preserve"> </w:t>
      </w:r>
    </w:p>
    <w:p w14:paraId="4F2ADD80" w14:textId="43667455" w:rsidR="00EF2723" w:rsidRPr="001B5CD3" w:rsidRDefault="00EF2723" w:rsidP="000C6316">
      <w:pPr>
        <w:pStyle w:val="Nadpis2"/>
        <w:rPr>
          <w:lang w:eastAsia="cs-CZ"/>
        </w:rPr>
      </w:pPr>
      <w:bookmarkStart w:id="4" w:name="_Toc179958153"/>
      <w:r w:rsidRPr="001B5CD3">
        <w:rPr>
          <w:lang w:eastAsia="cs-CZ"/>
        </w:rPr>
        <w:t>Termín a místo plnění</w:t>
      </w:r>
      <w:bookmarkEnd w:id="4"/>
    </w:p>
    <w:p w14:paraId="3A805C34" w14:textId="4C331D22" w:rsidR="00EF2723" w:rsidRDefault="004B1EA6" w:rsidP="00EF2723">
      <w:pPr>
        <w:pStyle w:val="Bezmezer"/>
        <w:jc w:val="both"/>
        <w:rPr>
          <w:lang w:eastAsia="cs-CZ"/>
        </w:rPr>
      </w:pPr>
      <w:r>
        <w:rPr>
          <w:rFonts w:ascii="Calibri" w:eastAsia="Times New Roman" w:hAnsi="Calibri" w:cs="Calibri"/>
          <w:lang w:eastAsia="cs-CZ"/>
        </w:rPr>
        <w:t>Smlouva</w:t>
      </w:r>
      <w:r>
        <w:rPr>
          <w:lang w:eastAsia="cs-CZ"/>
        </w:rPr>
        <w:t xml:space="preserve"> </w:t>
      </w:r>
      <w:r w:rsidR="00EF2723">
        <w:rPr>
          <w:lang w:eastAsia="cs-CZ"/>
        </w:rPr>
        <w:t>bude uzavřena</w:t>
      </w:r>
      <w:r w:rsidR="00143149">
        <w:rPr>
          <w:lang w:eastAsia="cs-CZ"/>
        </w:rPr>
        <w:t xml:space="preserve"> na dobu určitou</w:t>
      </w:r>
      <w:r w:rsidR="00C16797">
        <w:rPr>
          <w:lang w:eastAsia="cs-CZ"/>
        </w:rPr>
        <w:t xml:space="preserve"> tj. na dobu </w:t>
      </w:r>
      <w:r w:rsidR="00010784" w:rsidRPr="002370AE">
        <w:rPr>
          <w:b/>
          <w:lang w:eastAsia="cs-CZ"/>
        </w:rPr>
        <w:t>12</w:t>
      </w:r>
      <w:r w:rsidR="00C16797" w:rsidRPr="002370AE">
        <w:rPr>
          <w:b/>
          <w:lang w:eastAsia="cs-CZ"/>
        </w:rPr>
        <w:t xml:space="preserve"> měsí</w:t>
      </w:r>
      <w:r w:rsidR="00C16797">
        <w:rPr>
          <w:lang w:eastAsia="cs-CZ"/>
        </w:rPr>
        <w:t>ců</w:t>
      </w:r>
      <w:r w:rsidR="00143149">
        <w:rPr>
          <w:lang w:eastAsia="cs-CZ"/>
        </w:rPr>
        <w:t xml:space="preserve"> od</w:t>
      </w:r>
      <w:r w:rsidR="00604B93">
        <w:rPr>
          <w:lang w:eastAsia="cs-CZ"/>
        </w:rPr>
        <w:t xml:space="preserve"> </w:t>
      </w:r>
      <w:r w:rsidR="0080125B">
        <w:rPr>
          <w:lang w:eastAsia="cs-CZ"/>
        </w:rPr>
        <w:t>účin</w:t>
      </w:r>
      <w:r w:rsidR="00225D91">
        <w:rPr>
          <w:lang w:eastAsia="cs-CZ"/>
        </w:rPr>
        <w:t xml:space="preserve">nosti </w:t>
      </w:r>
      <w:r>
        <w:rPr>
          <w:lang w:eastAsia="cs-CZ"/>
        </w:rPr>
        <w:t>S</w:t>
      </w:r>
      <w:r w:rsidR="00225D91">
        <w:rPr>
          <w:lang w:eastAsia="cs-CZ"/>
        </w:rPr>
        <w:t>mlouv</w:t>
      </w:r>
      <w:r w:rsidR="00C16797">
        <w:rPr>
          <w:lang w:eastAsia="cs-CZ"/>
        </w:rPr>
        <w:t>y</w:t>
      </w:r>
      <w:r w:rsidR="0080125B">
        <w:rPr>
          <w:lang w:eastAsia="cs-CZ"/>
        </w:rPr>
        <w:t xml:space="preserve">. </w:t>
      </w:r>
      <w:r w:rsidR="00611C59">
        <w:rPr>
          <w:lang w:eastAsia="cs-CZ"/>
        </w:rPr>
        <w:t xml:space="preserve"> </w:t>
      </w:r>
    </w:p>
    <w:p w14:paraId="695E1586" w14:textId="746D11DD" w:rsidR="000C6316" w:rsidRDefault="00EF2723" w:rsidP="00AF32AC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 xml:space="preserve">Místem plnění jsou sídla </w:t>
      </w:r>
      <w:r w:rsidR="003C1A0B">
        <w:rPr>
          <w:lang w:eastAsia="cs-CZ"/>
        </w:rPr>
        <w:t>jednotlivých dílčích zadavatelů - nemocnic</w:t>
      </w:r>
      <w:r w:rsidR="00BD18BD">
        <w:rPr>
          <w:lang w:eastAsia="cs-CZ"/>
        </w:rPr>
        <w:t xml:space="preserve"> </w:t>
      </w:r>
      <w:r w:rsidR="00604B93">
        <w:rPr>
          <w:lang w:eastAsia="cs-CZ"/>
        </w:rPr>
        <w:t>Plzeňského kraje.</w:t>
      </w:r>
    </w:p>
    <w:p w14:paraId="372937B4" w14:textId="114D9CE2" w:rsidR="00EF2723" w:rsidRDefault="00EF2723" w:rsidP="000C6316">
      <w:pPr>
        <w:pStyle w:val="Nadpis2"/>
        <w:rPr>
          <w:lang w:eastAsia="cs-CZ"/>
        </w:rPr>
      </w:pPr>
      <w:bookmarkStart w:id="5" w:name="_Toc179958154"/>
      <w:r w:rsidRPr="007F36EE">
        <w:rPr>
          <w:lang w:eastAsia="cs-CZ"/>
        </w:rPr>
        <w:t>Vyhrazená změna závazku</w:t>
      </w:r>
      <w:bookmarkEnd w:id="5"/>
    </w:p>
    <w:p w14:paraId="263C0B71" w14:textId="492FF69D" w:rsidR="00611C59" w:rsidRPr="00604B93" w:rsidRDefault="00611C59" w:rsidP="00611C59">
      <w:pPr>
        <w:pStyle w:val="Bezmezer"/>
        <w:spacing w:before="120"/>
        <w:jc w:val="both"/>
        <w:rPr>
          <w:lang w:eastAsia="cs-CZ"/>
        </w:rPr>
      </w:pPr>
      <w:r w:rsidRPr="00604B93">
        <w:rPr>
          <w:lang w:eastAsia="cs-CZ"/>
        </w:rPr>
        <w:t>Ce</w:t>
      </w:r>
      <w:r w:rsidR="00E15802">
        <w:rPr>
          <w:lang w:eastAsia="cs-CZ"/>
        </w:rPr>
        <w:t>ntrální zadavatel si dle</w:t>
      </w:r>
      <w:r w:rsidR="00FC5F9C">
        <w:rPr>
          <w:lang w:eastAsia="cs-CZ"/>
        </w:rPr>
        <w:t xml:space="preserve"> § 100 odst. 1</w:t>
      </w:r>
      <w:r w:rsidRPr="00604B93">
        <w:rPr>
          <w:lang w:eastAsia="cs-CZ"/>
        </w:rPr>
        <w:t xml:space="preserve"> ZZVZ</w:t>
      </w:r>
      <w:r w:rsidR="00AB4E3A" w:rsidRPr="00604B93">
        <w:rPr>
          <w:lang w:eastAsia="cs-CZ"/>
        </w:rPr>
        <w:t xml:space="preserve"> vyhrazuje</w:t>
      </w:r>
      <w:r w:rsidRPr="00604B93">
        <w:rPr>
          <w:lang w:eastAsia="cs-CZ"/>
        </w:rPr>
        <w:t>:</w:t>
      </w:r>
    </w:p>
    <w:p w14:paraId="6E30D04B" w14:textId="54A592C6" w:rsidR="00611C59" w:rsidRPr="00604B93" w:rsidRDefault="00611C59" w:rsidP="00611C59">
      <w:pPr>
        <w:pStyle w:val="Bezmezer"/>
        <w:spacing w:before="120"/>
        <w:jc w:val="both"/>
        <w:rPr>
          <w:lang w:eastAsia="cs-CZ"/>
        </w:rPr>
      </w:pPr>
      <w:r w:rsidRPr="00604B93">
        <w:rPr>
          <w:lang w:eastAsia="cs-CZ"/>
        </w:rPr>
        <w:t>-</w:t>
      </w:r>
      <w:r w:rsidR="00AB4E3A" w:rsidRPr="00604B93">
        <w:rPr>
          <w:lang w:eastAsia="cs-CZ"/>
        </w:rPr>
        <w:t xml:space="preserve"> </w:t>
      </w:r>
      <w:r w:rsidR="00901402" w:rsidRPr="00604B93">
        <w:rPr>
          <w:lang w:eastAsia="cs-CZ"/>
        </w:rPr>
        <w:t>prodloužení dodací lhůty v případě závažných okolností, jakými jsou zejména nouzový stav v důsledku pandemie, havárie, živelná katastrofa, celosvětově nedostupná součást zařízení nebo válečný konflikt. Musí se jednat o zásadní, jednorázové a nikoli běžné okolnosti nebo události, které jsou nezávislé na vůli zadavatele a dodavatele. Prodloužení původní dodací lhůty nesmí být zapříčiněno vědomým jednáním zadavatele nebo dodavatele. Dodavatel musí předem objektivně odůvodnit, že překážka brání plnění smlouvy, dále prokazatelně doložit okamžik vzniku překážky a její předpokládanou dobu trvání. Následně bude uzavřen dodatek ke smlouvě. Dodací lhůta bude prodloužena o dobu trvání překážky, nejdéle o 30 kalendářních dnů. Trvá-li překážka déle, bude uzavřen nový dodatek se stejným postupem. Zadavatel neschválí prodloužení dodací lhůty v případě, že se jedná o překážku, které nemá zásadní vliv na poskytované plnění</w:t>
      </w:r>
      <w:r w:rsidRPr="00604B93">
        <w:rPr>
          <w:lang w:eastAsia="cs-CZ"/>
        </w:rPr>
        <w:t>.</w:t>
      </w:r>
    </w:p>
    <w:p w14:paraId="5FCB26FD" w14:textId="3FF8DCF9" w:rsidR="00CE52CB" w:rsidRDefault="00AB4E3A" w:rsidP="00165F4D">
      <w:pPr>
        <w:pStyle w:val="Bezmezer"/>
        <w:spacing w:before="120"/>
        <w:jc w:val="both"/>
        <w:rPr>
          <w:lang w:eastAsia="cs-CZ"/>
        </w:rPr>
      </w:pPr>
      <w:r w:rsidRPr="00604B93">
        <w:rPr>
          <w:lang w:eastAsia="cs-CZ"/>
        </w:rPr>
        <w:t xml:space="preserve">- </w:t>
      </w:r>
      <w:r w:rsidR="00611C59" w:rsidRPr="00604B93">
        <w:rPr>
          <w:lang w:eastAsia="cs-CZ"/>
        </w:rPr>
        <w:t>navýšení ceny v případě změny sazby DPH v daňových předpisech.</w:t>
      </w:r>
    </w:p>
    <w:p w14:paraId="37AE4B02" w14:textId="1FC06C31" w:rsidR="00FC5F9C" w:rsidRDefault="00FC5F9C" w:rsidP="00165F4D">
      <w:pPr>
        <w:pStyle w:val="Bezmezer"/>
        <w:spacing w:before="120"/>
        <w:jc w:val="both"/>
        <w:rPr>
          <w:lang w:eastAsia="cs-CZ"/>
        </w:rPr>
      </w:pPr>
      <w:r w:rsidRPr="00604B93">
        <w:rPr>
          <w:lang w:eastAsia="cs-CZ"/>
        </w:rPr>
        <w:t>Ce</w:t>
      </w:r>
      <w:r>
        <w:rPr>
          <w:lang w:eastAsia="cs-CZ"/>
        </w:rPr>
        <w:t>ntrální zadavatel si dle § 100 odst. 2</w:t>
      </w:r>
      <w:r w:rsidRPr="00604B93">
        <w:rPr>
          <w:lang w:eastAsia="cs-CZ"/>
        </w:rPr>
        <w:t xml:space="preserve"> ZZVZ</w:t>
      </w:r>
      <w:r>
        <w:rPr>
          <w:lang w:eastAsia="cs-CZ"/>
        </w:rPr>
        <w:t xml:space="preserve"> dále</w:t>
      </w:r>
      <w:r w:rsidRPr="00604B93">
        <w:rPr>
          <w:lang w:eastAsia="cs-CZ"/>
        </w:rPr>
        <w:t xml:space="preserve"> vyhrazuje</w:t>
      </w:r>
      <w:r>
        <w:rPr>
          <w:lang w:eastAsia="cs-CZ"/>
        </w:rPr>
        <w:t>:</w:t>
      </w:r>
    </w:p>
    <w:p w14:paraId="361C915D" w14:textId="41D4D6DA" w:rsidR="001E6D2B" w:rsidRPr="00E15802" w:rsidRDefault="00FC5F9C" w:rsidP="001E6D2B">
      <w:pPr>
        <w:pStyle w:val="Bezmezer"/>
        <w:spacing w:before="120"/>
        <w:jc w:val="both"/>
        <w:rPr>
          <w:lang w:eastAsia="cs-CZ"/>
        </w:rPr>
      </w:pPr>
      <w:r w:rsidRPr="00FC5F9C">
        <w:rPr>
          <w:lang w:eastAsia="cs-CZ"/>
        </w:rPr>
        <w:t>-</w:t>
      </w:r>
      <w:r>
        <w:rPr>
          <w:color w:val="FF0000"/>
          <w:lang w:eastAsia="cs-CZ"/>
        </w:rPr>
        <w:t xml:space="preserve"> </w:t>
      </w:r>
      <w:r w:rsidR="001E6D2B" w:rsidRPr="00165F4D">
        <w:rPr>
          <w:lang w:eastAsia="cs-CZ"/>
        </w:rPr>
        <w:t>nahrazení vybraného dodavatele dodavatelem dalším v pořadí v př</w:t>
      </w:r>
      <w:r w:rsidR="004B1EA6" w:rsidRPr="00165F4D">
        <w:rPr>
          <w:lang w:eastAsia="cs-CZ"/>
        </w:rPr>
        <w:t>ípadě, že bude ukončena S</w:t>
      </w:r>
      <w:r w:rsidR="008338A1" w:rsidRPr="00165F4D">
        <w:rPr>
          <w:lang w:eastAsia="cs-CZ"/>
        </w:rPr>
        <w:t>mlouva</w:t>
      </w:r>
      <w:r w:rsidR="001E6D2B" w:rsidRPr="00165F4D">
        <w:rPr>
          <w:lang w:eastAsia="cs-CZ"/>
        </w:rPr>
        <w:t xml:space="preserve"> odstoupením nebo výpovědí z důvodu porušení povinností ze strany vybraného dodavatele. Po ukončení </w:t>
      </w:r>
      <w:r w:rsidR="004B1EA6" w:rsidRPr="00165F4D">
        <w:rPr>
          <w:lang w:eastAsia="cs-CZ"/>
        </w:rPr>
        <w:t>S</w:t>
      </w:r>
      <w:r w:rsidR="008338A1" w:rsidRPr="00165F4D">
        <w:rPr>
          <w:lang w:eastAsia="cs-CZ"/>
        </w:rPr>
        <w:t>mlouvy</w:t>
      </w:r>
      <w:r w:rsidR="001E6D2B" w:rsidRPr="00165F4D">
        <w:rPr>
          <w:lang w:eastAsia="cs-CZ"/>
        </w:rPr>
        <w:t xml:space="preserve"> centrální zadavatel osloví dodavatele dalšího v pořadí a zašle mu k </w:t>
      </w:r>
      <w:r w:rsidR="004B1EA6" w:rsidRPr="00165F4D">
        <w:rPr>
          <w:lang w:eastAsia="cs-CZ"/>
        </w:rPr>
        <w:t>odsouhlasení návrh nové S</w:t>
      </w:r>
      <w:r w:rsidR="008338A1" w:rsidRPr="00165F4D">
        <w:rPr>
          <w:lang w:eastAsia="cs-CZ"/>
        </w:rPr>
        <w:t>mlouvy</w:t>
      </w:r>
      <w:r w:rsidR="001E6D2B" w:rsidRPr="00165F4D">
        <w:rPr>
          <w:lang w:eastAsia="cs-CZ"/>
        </w:rPr>
        <w:t xml:space="preserve">, která odpovídá jeho nabídce. Bude-li další dodavatel souhlasit, uzavře s ním centrální zadavatel novou </w:t>
      </w:r>
      <w:r w:rsidR="004B1EA6" w:rsidRPr="00165F4D">
        <w:rPr>
          <w:lang w:eastAsia="cs-CZ"/>
        </w:rPr>
        <w:t>S</w:t>
      </w:r>
      <w:r w:rsidR="008338A1" w:rsidRPr="00165F4D">
        <w:rPr>
          <w:lang w:eastAsia="cs-CZ"/>
        </w:rPr>
        <w:t>mlouvu</w:t>
      </w:r>
      <w:r w:rsidR="001E6D2B" w:rsidRPr="00165F4D">
        <w:rPr>
          <w:lang w:eastAsia="cs-CZ"/>
        </w:rPr>
        <w:t xml:space="preserve">, přičemž rozsah se stanoví či omezí vzhledem k fázi </w:t>
      </w:r>
      <w:r w:rsidR="008338A1" w:rsidRPr="00165F4D">
        <w:rPr>
          <w:lang w:eastAsia="cs-CZ"/>
        </w:rPr>
        <w:t xml:space="preserve">a </w:t>
      </w:r>
      <w:r w:rsidR="001E6D2B" w:rsidRPr="00165F4D">
        <w:rPr>
          <w:lang w:eastAsia="cs-CZ"/>
        </w:rPr>
        <w:t>průběhu plnění. Tento postup lze využít opakovaně.</w:t>
      </w:r>
    </w:p>
    <w:p w14:paraId="0A466D1F" w14:textId="01C77767" w:rsidR="00EF2723" w:rsidRPr="002B03F4" w:rsidRDefault="00EF2723" w:rsidP="000C6316">
      <w:pPr>
        <w:pStyle w:val="Nadpis1"/>
        <w:rPr>
          <w:rFonts w:eastAsia="Times New Roman"/>
          <w:lang w:eastAsia="cs-CZ"/>
        </w:rPr>
      </w:pPr>
      <w:bookmarkStart w:id="6" w:name="_Toc179958155"/>
      <w:r w:rsidRPr="002B03F4">
        <w:rPr>
          <w:rFonts w:eastAsia="Times New Roman"/>
          <w:lang w:eastAsia="cs-CZ"/>
        </w:rPr>
        <w:t>OBCHODNÍ PODMÍNKY</w:t>
      </w:r>
      <w:bookmarkEnd w:id="6"/>
    </w:p>
    <w:p w14:paraId="4AD4F5A2" w14:textId="002C8B99" w:rsidR="00EF2723" w:rsidRPr="00152BA9" w:rsidRDefault="00EF2723" w:rsidP="000C6316">
      <w:pPr>
        <w:pStyle w:val="Nadpis2"/>
        <w:rPr>
          <w:rFonts w:eastAsia="Times New Roman"/>
          <w:lang w:eastAsia="cs-CZ"/>
        </w:rPr>
      </w:pPr>
      <w:bookmarkStart w:id="7" w:name="_Toc179958156"/>
      <w:r w:rsidRPr="00152BA9">
        <w:rPr>
          <w:rFonts w:eastAsia="Times New Roman"/>
          <w:lang w:eastAsia="cs-CZ"/>
        </w:rPr>
        <w:t>Návrh smlouvy</w:t>
      </w:r>
      <w:bookmarkEnd w:id="7"/>
    </w:p>
    <w:p w14:paraId="66E02A9B" w14:textId="6F4B7C9E" w:rsidR="00EF2723" w:rsidRDefault="00EF2723" w:rsidP="00E56A98">
      <w:pPr>
        <w:pStyle w:val="Bezmezer"/>
        <w:jc w:val="both"/>
        <w:rPr>
          <w:lang w:eastAsia="cs-CZ"/>
        </w:rPr>
      </w:pPr>
      <w:r w:rsidRPr="00152BA9">
        <w:rPr>
          <w:lang w:eastAsia="cs-CZ"/>
        </w:rPr>
        <w:t>Obchodní, záruční, platební a sankční podmínky jsou stanoveny v </w:t>
      </w:r>
      <w:r w:rsidR="00225D91">
        <w:rPr>
          <w:b/>
          <w:lang w:eastAsia="cs-CZ"/>
        </w:rPr>
        <w:t xml:space="preserve">Návrhu </w:t>
      </w:r>
      <w:r w:rsidR="00DD08CD">
        <w:rPr>
          <w:b/>
          <w:lang w:eastAsia="cs-CZ"/>
        </w:rPr>
        <w:t>Rámcové kupní s</w:t>
      </w:r>
      <w:r w:rsidR="00225D91">
        <w:rPr>
          <w:b/>
          <w:lang w:eastAsia="cs-CZ"/>
        </w:rPr>
        <w:t>mlouvy</w:t>
      </w:r>
      <w:r w:rsidRPr="00152BA9">
        <w:rPr>
          <w:lang w:eastAsia="cs-CZ"/>
        </w:rPr>
        <w:t xml:space="preserve">, která tvoří Přílohu č. </w:t>
      </w:r>
      <w:r w:rsidR="00470F1F">
        <w:rPr>
          <w:lang w:eastAsia="cs-CZ"/>
        </w:rPr>
        <w:t>2</w:t>
      </w:r>
      <w:r w:rsidRPr="00152BA9">
        <w:rPr>
          <w:lang w:eastAsia="cs-CZ"/>
        </w:rPr>
        <w:t xml:space="preserve">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 w:rsidRPr="00152BA9">
        <w:rPr>
          <w:lang w:eastAsia="cs-CZ"/>
        </w:rPr>
        <w:t xml:space="preserve">. Návrh </w:t>
      </w:r>
      <w:r w:rsidR="004B1EA6">
        <w:rPr>
          <w:lang w:eastAsia="cs-CZ"/>
        </w:rPr>
        <w:t xml:space="preserve">Smlouvy </w:t>
      </w:r>
      <w:r w:rsidRPr="00152BA9">
        <w:rPr>
          <w:lang w:eastAsia="cs-CZ"/>
        </w:rPr>
        <w:t>je závazný, dodavatel</w:t>
      </w:r>
      <w:r w:rsidR="0047147E">
        <w:rPr>
          <w:lang w:eastAsia="cs-CZ"/>
        </w:rPr>
        <w:t xml:space="preserve"> akceptuje její znění bez výhrad, a to formou čestného prohlášení v</w:t>
      </w:r>
      <w:r w:rsidR="003C1A0B">
        <w:rPr>
          <w:lang w:eastAsia="cs-CZ"/>
        </w:rPr>
        <w:t xml:space="preserve"> Příloze </w:t>
      </w:r>
      <w:r w:rsidR="008F1615">
        <w:rPr>
          <w:lang w:eastAsia="cs-CZ"/>
        </w:rPr>
        <w:t xml:space="preserve">č. </w:t>
      </w:r>
      <w:r w:rsidR="00DD08CD">
        <w:rPr>
          <w:lang w:eastAsia="cs-CZ"/>
        </w:rPr>
        <w:t>1</w:t>
      </w:r>
      <w:r w:rsidR="003C1A0B">
        <w:rPr>
          <w:lang w:eastAsia="cs-CZ"/>
        </w:rPr>
        <w:t xml:space="preserve"> Výzvy – </w:t>
      </w:r>
      <w:r w:rsidR="00470F1F">
        <w:rPr>
          <w:lang w:eastAsia="cs-CZ"/>
        </w:rPr>
        <w:t>Technická specifikace včetně ocenění.</w:t>
      </w:r>
    </w:p>
    <w:p w14:paraId="33162D92" w14:textId="7916F04E" w:rsidR="0047147E" w:rsidRDefault="0047147E" w:rsidP="000C6316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>Návrh smlouvy není povinnou součástí nabídky.</w:t>
      </w:r>
    </w:p>
    <w:p w14:paraId="42572725" w14:textId="1BE8314F" w:rsidR="00862F10" w:rsidRDefault="00EF2723" w:rsidP="000C6316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 xml:space="preserve">Všechny údaje uvedené v konečné </w:t>
      </w:r>
      <w:r w:rsidR="00DC490C">
        <w:rPr>
          <w:lang w:eastAsia="cs-CZ"/>
        </w:rPr>
        <w:t>Smlouvě</w:t>
      </w:r>
      <w:r>
        <w:rPr>
          <w:lang w:eastAsia="cs-CZ"/>
        </w:rPr>
        <w:t xml:space="preserve"> budou veřejné. Pokud dodavatel nesouhlasí s uveřejněním některých informací, například z důvodu ochrany obchodního tajemství, označí je v nabídce.</w:t>
      </w:r>
    </w:p>
    <w:p w14:paraId="66715D10" w14:textId="77777777" w:rsidR="00EF2723" w:rsidRPr="002B03F4" w:rsidRDefault="00EF2723" w:rsidP="000C6316">
      <w:pPr>
        <w:pStyle w:val="Nadpis1"/>
        <w:rPr>
          <w:rFonts w:eastAsia="Times New Roman"/>
          <w:lang w:eastAsia="cs-CZ"/>
        </w:rPr>
      </w:pPr>
      <w:bookmarkStart w:id="8" w:name="_Toc179958157"/>
      <w:r w:rsidRPr="002B03F4">
        <w:rPr>
          <w:rFonts w:eastAsia="Times New Roman"/>
          <w:lang w:eastAsia="cs-CZ"/>
        </w:rPr>
        <w:t>POŽADAVKY ZADAVATELE</w:t>
      </w:r>
      <w:bookmarkEnd w:id="8"/>
    </w:p>
    <w:p w14:paraId="260C2D71" w14:textId="0717BB3B" w:rsidR="00EF2723" w:rsidRPr="00057742" w:rsidRDefault="00EF2723" w:rsidP="000C6316">
      <w:pPr>
        <w:pStyle w:val="Nadpis2"/>
        <w:rPr>
          <w:rFonts w:eastAsia="Times New Roman"/>
          <w:lang w:eastAsia="cs-CZ"/>
        </w:rPr>
      </w:pPr>
      <w:bookmarkStart w:id="9" w:name="_Toc179958158"/>
      <w:r w:rsidRPr="00057742">
        <w:rPr>
          <w:rFonts w:eastAsia="Times New Roman"/>
          <w:lang w:eastAsia="cs-CZ"/>
        </w:rPr>
        <w:t>Požadavky na plnění veřejné zakázky</w:t>
      </w:r>
      <w:bookmarkEnd w:id="9"/>
    </w:p>
    <w:p w14:paraId="3C3820D7" w14:textId="56E53519" w:rsidR="00EF2723" w:rsidRDefault="00EF2723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Dodavatel poskytne plnění řádně, ve sjednaných termínech, v požadované kvalitě a </w:t>
      </w:r>
      <w:r w:rsidR="00225D91">
        <w:rPr>
          <w:lang w:eastAsia="cs-CZ"/>
        </w:rPr>
        <w:t>množství, v souladu s</w:t>
      </w:r>
      <w:r w:rsidR="004B1EA6">
        <w:rPr>
          <w:lang w:eastAsia="cs-CZ"/>
        </w:rPr>
        <w:t>e</w:t>
      </w:r>
      <w:r w:rsidR="00225D91">
        <w:rPr>
          <w:lang w:eastAsia="cs-CZ"/>
        </w:rPr>
        <w:t> </w:t>
      </w:r>
      <w:r w:rsidR="004B1EA6">
        <w:rPr>
          <w:rFonts w:ascii="Calibri" w:eastAsia="Times New Roman" w:hAnsi="Calibri" w:cs="Calibri"/>
          <w:lang w:eastAsia="cs-CZ"/>
        </w:rPr>
        <w:t>Smlouvou</w:t>
      </w:r>
      <w:r w:rsidR="0079299D">
        <w:rPr>
          <w:lang w:eastAsia="cs-CZ"/>
        </w:rPr>
        <w:t xml:space="preserve">, zadávacími podmínkami, </w:t>
      </w:r>
      <w:r>
        <w:rPr>
          <w:lang w:eastAsia="cs-CZ"/>
        </w:rPr>
        <w:t>požadavky centrálního zadavatele</w:t>
      </w:r>
      <w:r w:rsidR="0079299D">
        <w:rPr>
          <w:lang w:eastAsia="cs-CZ"/>
        </w:rPr>
        <w:t xml:space="preserve"> a právními předpisy</w:t>
      </w:r>
      <w:r>
        <w:rPr>
          <w:lang w:eastAsia="cs-CZ"/>
        </w:rPr>
        <w:t>.</w:t>
      </w:r>
    </w:p>
    <w:p w14:paraId="122372FE" w14:textId="2110F222" w:rsidR="00B472CE" w:rsidRDefault="00B472CE" w:rsidP="000C6316">
      <w:pPr>
        <w:pStyle w:val="Bezmezer"/>
        <w:spacing w:before="120"/>
        <w:jc w:val="both"/>
        <w:rPr>
          <w:rFonts w:cs="Calibri"/>
        </w:rPr>
      </w:pPr>
      <w:r w:rsidRPr="008B74CA">
        <w:rPr>
          <w:rFonts w:cs="Calibri"/>
        </w:rPr>
        <w:t xml:space="preserve">Součástí dodávek a nabídkové ceny dodavatele musí být také </w:t>
      </w:r>
      <w:r w:rsidRPr="00E26E13">
        <w:rPr>
          <w:rFonts w:cs="Calibri"/>
          <w:u w:val="single"/>
        </w:rPr>
        <w:t>dopra</w:t>
      </w:r>
      <w:r>
        <w:rPr>
          <w:rFonts w:cs="Calibri"/>
          <w:u w:val="single"/>
        </w:rPr>
        <w:t>va nakupovaného zboží do místa určeného všemi dílčími zadavateli</w:t>
      </w:r>
      <w:r w:rsidR="00225D91">
        <w:rPr>
          <w:rFonts w:cs="Calibri"/>
          <w:u w:val="single"/>
        </w:rPr>
        <w:t>, resp. účastníky</w:t>
      </w:r>
      <w:r w:rsidR="00225D91" w:rsidRPr="004B1EA6">
        <w:rPr>
          <w:rFonts w:cs="Calibri"/>
          <w:u w:val="single"/>
        </w:rPr>
        <w:t xml:space="preserve"> </w:t>
      </w:r>
      <w:r w:rsidR="004B1EA6" w:rsidRPr="004B1EA6">
        <w:rPr>
          <w:rFonts w:ascii="Calibri" w:eastAsia="Times New Roman" w:hAnsi="Calibri" w:cs="Calibri"/>
          <w:u w:val="single"/>
          <w:lang w:eastAsia="cs-CZ"/>
        </w:rPr>
        <w:t>Smlouvy</w:t>
      </w:r>
      <w:r>
        <w:rPr>
          <w:rFonts w:cs="Calibri"/>
          <w:u w:val="single"/>
        </w:rPr>
        <w:t>,</w:t>
      </w:r>
      <w:r w:rsidRPr="004B1EA6">
        <w:rPr>
          <w:rFonts w:cs="Calibri"/>
        </w:rPr>
        <w:t xml:space="preserve"> </w:t>
      </w:r>
      <w:r w:rsidRPr="008B74CA">
        <w:rPr>
          <w:rFonts w:cs="Calibri"/>
        </w:rPr>
        <w:t>uvedený</w:t>
      </w:r>
      <w:r w:rsidR="003E2B41">
        <w:rPr>
          <w:rFonts w:cs="Calibri"/>
        </w:rPr>
        <w:t>mi</w:t>
      </w:r>
      <w:r w:rsidRPr="008B74CA">
        <w:rPr>
          <w:rFonts w:cs="Calibri"/>
        </w:rPr>
        <w:t xml:space="preserve"> </w:t>
      </w:r>
      <w:r>
        <w:rPr>
          <w:rFonts w:cs="Calibri"/>
        </w:rPr>
        <w:t>v</w:t>
      </w:r>
      <w:r w:rsidR="003C1A0B">
        <w:rPr>
          <w:rFonts w:cs="Calibri"/>
        </w:rPr>
        <w:t> čl. 1 Výzvy</w:t>
      </w:r>
      <w:r w:rsidR="004F2F36">
        <w:rPr>
          <w:rFonts w:cs="Calibri"/>
        </w:rPr>
        <w:t xml:space="preserve">. </w:t>
      </w:r>
    </w:p>
    <w:p w14:paraId="71700F4A" w14:textId="6DACD816" w:rsidR="00800AB4" w:rsidRDefault="00800AB4" w:rsidP="00AF32AC">
      <w:pPr>
        <w:spacing w:before="120" w:after="0" w:line="240" w:lineRule="auto"/>
        <w:jc w:val="both"/>
        <w:rPr>
          <w:iCs/>
          <w:lang w:eastAsia="cs-CZ"/>
        </w:rPr>
      </w:pPr>
      <w:r w:rsidRPr="00800AB4">
        <w:rPr>
          <w:iCs/>
          <w:lang w:eastAsia="cs-CZ"/>
        </w:rPr>
        <w:t xml:space="preserve">Centrální zadavatel požaduje, aby měl dodavatel zřízen </w:t>
      </w:r>
      <w:r w:rsidRPr="00800AB4">
        <w:rPr>
          <w:b/>
          <w:bCs/>
          <w:iCs/>
          <w:lang w:eastAsia="cs-CZ"/>
        </w:rPr>
        <w:t>bankovní účet v českých korunách v ČR</w:t>
      </w:r>
      <w:r w:rsidRPr="00800AB4">
        <w:rPr>
          <w:iCs/>
          <w:lang w:eastAsia="cs-CZ"/>
        </w:rPr>
        <w:t>, jelikož dodavatel je povinen zahrnout do nabídkové ceny veškeré náklady a poplatky spojené s plněním veřejné zakázky, mezi něž jsou zahrnuty i poplatky za přeshraniční transakce, které proto nesmí centrálnímu zadavateli ani dílčím zadavatelům v souvislosti s plněním z této veřejné zakázky vznikat.</w:t>
      </w:r>
    </w:p>
    <w:p w14:paraId="2307A75D" w14:textId="620537E8" w:rsidR="005E7ACE" w:rsidRDefault="005E7ACE" w:rsidP="005E7ACE">
      <w:pPr>
        <w:pStyle w:val="Nadpis2"/>
        <w:rPr>
          <w:lang w:eastAsia="cs-CZ"/>
        </w:rPr>
      </w:pPr>
      <w:bookmarkStart w:id="10" w:name="_Toc179958159"/>
      <w:r>
        <w:rPr>
          <w:lang w:eastAsia="cs-CZ"/>
        </w:rPr>
        <w:lastRenderedPageBreak/>
        <w:t>Odpovědné veřejné zadávání</w:t>
      </w:r>
      <w:bookmarkEnd w:id="10"/>
    </w:p>
    <w:p w14:paraId="21362540" w14:textId="6BC7FB27" w:rsidR="00A8345E" w:rsidRDefault="005E7ACE" w:rsidP="004D4347">
      <w:pPr>
        <w:jc w:val="both"/>
        <w:rPr>
          <w:rFonts w:cstheme="minorHAnsi"/>
          <w:lang w:eastAsia="cs-CZ"/>
        </w:rPr>
      </w:pPr>
      <w:r w:rsidRPr="004D4347">
        <w:rPr>
          <w:rFonts w:cstheme="minorHAnsi"/>
          <w:lang w:eastAsia="cs-CZ"/>
        </w:rPr>
        <w:t>C</w:t>
      </w:r>
      <w:r w:rsidR="00A8345E" w:rsidRPr="004D4347">
        <w:rPr>
          <w:rFonts w:cstheme="minorHAnsi"/>
          <w:lang w:eastAsia="cs-CZ"/>
        </w:rPr>
        <w:t xml:space="preserve">entrální zadavatel zohledňuje odpovědné veřejné zadávání a stanovuje </w:t>
      </w:r>
      <w:r w:rsidR="002A0BB6" w:rsidRPr="00091E4F">
        <w:rPr>
          <w:rFonts w:cstheme="minorHAnsi"/>
          <w:lang w:eastAsia="cs-CZ"/>
        </w:rPr>
        <w:t>následující</w:t>
      </w:r>
      <w:r w:rsidR="00A8345E" w:rsidRPr="00091E4F">
        <w:rPr>
          <w:rFonts w:cstheme="minorHAnsi"/>
          <w:lang w:eastAsia="cs-CZ"/>
        </w:rPr>
        <w:t xml:space="preserve"> požadavky</w:t>
      </w:r>
      <w:r w:rsidR="002A0BB6" w:rsidRPr="00091E4F">
        <w:rPr>
          <w:rFonts w:cstheme="minorHAnsi"/>
          <w:lang w:eastAsia="cs-CZ"/>
        </w:rPr>
        <w:t>:</w:t>
      </w:r>
    </w:p>
    <w:p w14:paraId="4BBBFAEE" w14:textId="77777777" w:rsidR="00091E4F" w:rsidRDefault="00091E4F" w:rsidP="00091E4F">
      <w:pPr>
        <w:spacing w:after="0" w:line="240" w:lineRule="auto"/>
      </w:pPr>
      <w:r w:rsidRPr="007B5D11">
        <w:rPr>
          <w:b/>
          <w:bCs/>
        </w:rPr>
        <w:t>Zohlednění zásady sociálně odpovědného zadávání</w:t>
      </w:r>
      <w:r>
        <w:t xml:space="preserve"> podle § 6 odst. 4 ZZVZ</w:t>
      </w:r>
    </w:p>
    <w:p w14:paraId="05964A77" w14:textId="77777777" w:rsidR="00091E4F" w:rsidRPr="00386258" w:rsidRDefault="00091E4F" w:rsidP="00091E4F">
      <w:pPr>
        <w:pStyle w:val="Bezmezer"/>
        <w:spacing w:before="120"/>
        <w:jc w:val="both"/>
        <w:rPr>
          <w:color w:val="000000" w:themeColor="text1"/>
          <w:lang w:eastAsia="cs-CZ"/>
        </w:rPr>
      </w:pPr>
      <w:r w:rsidRPr="00386258">
        <w:rPr>
          <w:color w:val="000000" w:themeColor="text1"/>
        </w:rPr>
        <w:t xml:space="preserve">Zadavatel zohlednil zásadu, když požaduje, aby poskytovatel při plnění předmětu veřejné zakázky zajistil legální zaměstnávání, důstojné pracovní podmínky a odpovídající úroveň bezpečnosti práce pro všechny osoby, </w:t>
      </w:r>
      <w:r w:rsidRPr="00386258">
        <w:rPr>
          <w:color w:val="000000" w:themeColor="text1"/>
          <w:lang w:eastAsia="cs-CZ"/>
        </w:rPr>
        <w:t>které se na plnění veřejné zakázky budou podílet. Tato povinnost poskytovatele je zakotvena v obchodních podmínkách VZ.</w:t>
      </w:r>
    </w:p>
    <w:p w14:paraId="0B92CD9C" w14:textId="30B4B88D" w:rsidR="00091E4F" w:rsidRPr="00386258" w:rsidRDefault="00091E4F" w:rsidP="00091E4F">
      <w:pPr>
        <w:spacing w:before="120" w:after="0" w:line="240" w:lineRule="auto"/>
        <w:jc w:val="both"/>
        <w:rPr>
          <w:color w:val="000000" w:themeColor="text1"/>
        </w:rPr>
      </w:pPr>
      <w:r w:rsidRPr="00386258">
        <w:rPr>
          <w:color w:val="000000" w:themeColor="text1"/>
        </w:rPr>
        <w:t xml:space="preserve">V rámci Přílohy č. </w:t>
      </w:r>
      <w:r w:rsidR="008F1615">
        <w:rPr>
          <w:color w:val="000000" w:themeColor="text1"/>
        </w:rPr>
        <w:t>1</w:t>
      </w:r>
      <w:r>
        <w:rPr>
          <w:color w:val="000000" w:themeColor="text1"/>
        </w:rPr>
        <w:t xml:space="preserve"> Výzv</w:t>
      </w:r>
      <w:r w:rsidR="00AF2A97">
        <w:rPr>
          <w:color w:val="000000" w:themeColor="text1"/>
        </w:rPr>
        <w:t>y</w:t>
      </w:r>
      <w:r>
        <w:rPr>
          <w:color w:val="000000" w:themeColor="text1"/>
        </w:rPr>
        <w:t xml:space="preserve"> </w:t>
      </w:r>
      <w:r w:rsidRPr="00386258">
        <w:rPr>
          <w:color w:val="000000" w:themeColor="text1"/>
        </w:rPr>
        <w:t>dodavatel prohlásí, že bude dodržovat pracovněprávní předpisy</w:t>
      </w:r>
      <w:r>
        <w:rPr>
          <w:color w:val="000000" w:themeColor="text1"/>
        </w:rPr>
        <w:t xml:space="preserve">, úmluvy </w:t>
      </w:r>
      <w:r w:rsidRPr="00091E4F">
        <w:rPr>
          <w:color w:val="000000" w:themeColor="text1"/>
        </w:rPr>
        <w:t>o lidských právech, sociálních či pracovních právech</w:t>
      </w:r>
      <w:r>
        <w:rPr>
          <w:color w:val="000000" w:themeColor="text1"/>
        </w:rPr>
        <w:t>, zejména úmluvy</w:t>
      </w:r>
      <w:r w:rsidRPr="00386258">
        <w:rPr>
          <w:color w:val="000000" w:themeColor="text1"/>
        </w:rPr>
        <w:t xml:space="preserve"> </w:t>
      </w:r>
      <w:r w:rsidRPr="00091E4F">
        <w:rPr>
          <w:color w:val="000000" w:themeColor="text1"/>
        </w:rPr>
        <w:t>Mezinárodní organizace práce (ILO)</w:t>
      </w:r>
      <w:r w:rsidRPr="00386258">
        <w:rPr>
          <w:color w:val="000000" w:themeColor="text1"/>
        </w:rPr>
        <w:t>.</w:t>
      </w:r>
    </w:p>
    <w:p w14:paraId="19E69325" w14:textId="77777777" w:rsidR="00091E4F" w:rsidRDefault="00091E4F" w:rsidP="00091E4F">
      <w:pPr>
        <w:spacing w:after="0" w:line="240" w:lineRule="auto"/>
        <w:rPr>
          <w:b/>
          <w:bCs/>
        </w:rPr>
      </w:pPr>
    </w:p>
    <w:p w14:paraId="3DA7B222" w14:textId="77777777" w:rsidR="00091E4F" w:rsidRDefault="00091E4F" w:rsidP="00091E4F">
      <w:pPr>
        <w:spacing w:after="0" w:line="240" w:lineRule="auto"/>
      </w:pPr>
      <w:r w:rsidRPr="007B5D11">
        <w:rPr>
          <w:b/>
          <w:bCs/>
        </w:rPr>
        <w:t>Zohlednění zásady environmentálně odpovědného zadávání</w:t>
      </w:r>
      <w:r>
        <w:t xml:space="preserve"> podle § 6 odst. 4 ZZVZ</w:t>
      </w:r>
    </w:p>
    <w:p w14:paraId="1C1EBD91" w14:textId="2969C1B1" w:rsidR="00091E4F" w:rsidRPr="00916B3D" w:rsidRDefault="00091E4F" w:rsidP="00091E4F">
      <w:pPr>
        <w:spacing w:before="120" w:after="0" w:line="240" w:lineRule="auto"/>
        <w:jc w:val="both"/>
      </w:pPr>
      <w:r>
        <w:t xml:space="preserve">Zadavatel požaduje, aby </w:t>
      </w:r>
      <w:r w:rsidRPr="00091E4F">
        <w:t>byly veškeré obaly koncipovány tak, aby jich bylo využíváno minimální množství, aby dodávky proběhly v přiměřeně velkých velkospotřebitelských baleních a výrobky nebyly jednotlivě baleny</w:t>
      </w:r>
      <w:r w:rsidRPr="00056D93">
        <w:t>.</w:t>
      </w:r>
    </w:p>
    <w:p w14:paraId="625B223D" w14:textId="77777777" w:rsidR="00091E4F" w:rsidRPr="0096333A" w:rsidRDefault="00091E4F" w:rsidP="00091E4F">
      <w:pPr>
        <w:spacing w:before="120" w:after="0" w:line="240" w:lineRule="auto"/>
        <w:jc w:val="both"/>
        <w:rPr>
          <w:color w:val="000000" w:themeColor="text1"/>
        </w:rPr>
      </w:pPr>
      <w:r w:rsidRPr="007B5D11">
        <w:rPr>
          <w:b/>
          <w:bCs/>
        </w:rPr>
        <w:t>Zohlednění zásady inovací</w:t>
      </w:r>
      <w:r>
        <w:t xml:space="preserve"> podle § 6 odst. 4. ZZVZ</w:t>
      </w:r>
    </w:p>
    <w:p w14:paraId="5D3D71B3" w14:textId="61C79D91" w:rsidR="00091E4F" w:rsidRPr="004973FF" w:rsidRDefault="00091E4F" w:rsidP="00091E4F">
      <w:pPr>
        <w:spacing w:before="120" w:after="0" w:line="240" w:lineRule="auto"/>
        <w:jc w:val="both"/>
        <w:rPr>
          <w:rFonts w:cstheme="minorHAnsi"/>
          <w:bCs/>
          <w:color w:val="000000" w:themeColor="text1"/>
        </w:rPr>
      </w:pPr>
      <w:r w:rsidRPr="004973FF">
        <w:rPr>
          <w:rFonts w:cstheme="minorHAnsi"/>
          <w:color w:val="000000" w:themeColor="text1"/>
        </w:rPr>
        <w:t xml:space="preserve">Zadavatel při zadávání této veřejné zakázky posoudil </w:t>
      </w:r>
      <w:r w:rsidRPr="004973FF">
        <w:rPr>
          <w:rFonts w:cstheme="minorHAnsi"/>
          <w:bCs/>
          <w:color w:val="000000" w:themeColor="text1"/>
        </w:rPr>
        <w:t>možnosti uplatnění aspektů inovací</w:t>
      </w:r>
      <w:r w:rsidRPr="004973FF">
        <w:rPr>
          <w:rFonts w:cstheme="minorHAnsi"/>
          <w:color w:val="000000" w:themeColor="text1"/>
        </w:rPr>
        <w:t xml:space="preserve"> při zadávání a konstatuje, že </w:t>
      </w:r>
      <w:r w:rsidRPr="004973FF">
        <w:rPr>
          <w:rFonts w:eastAsia="Calibri" w:cstheme="minorHAnsi"/>
          <w:color w:val="000000" w:themeColor="text1"/>
          <w:lang w:eastAsia="zh-CN"/>
        </w:rPr>
        <w:t xml:space="preserve">poptává po technologické i uživatelské stránce </w:t>
      </w:r>
      <w:r>
        <w:rPr>
          <w:rFonts w:eastAsia="Calibri" w:cstheme="minorHAnsi"/>
          <w:color w:val="000000" w:themeColor="text1"/>
          <w:lang w:eastAsia="zh-CN"/>
        </w:rPr>
        <w:t>zboží</w:t>
      </w:r>
      <w:r w:rsidRPr="004973FF">
        <w:rPr>
          <w:rFonts w:eastAsia="Calibri" w:cstheme="minorHAnsi"/>
          <w:color w:val="000000" w:themeColor="text1"/>
          <w:lang w:eastAsia="zh-CN"/>
        </w:rPr>
        <w:t>, které odpovídá jeho potřebám a p</w:t>
      </w:r>
      <w:r w:rsidRPr="004973FF">
        <w:rPr>
          <w:rFonts w:cstheme="minorHAnsi"/>
          <w:color w:val="000000" w:themeColor="text1"/>
        </w:rPr>
        <w:t xml:space="preserve">ři vytváření zadávacích podmínek včetně způsobu hodnocení nabídek a pravidel pro výběr dodavatele veřejné zakázky </w:t>
      </w:r>
      <w:r w:rsidRPr="004973FF">
        <w:rPr>
          <w:rFonts w:cstheme="minorHAnsi"/>
          <w:bCs/>
          <w:color w:val="000000" w:themeColor="text1"/>
        </w:rPr>
        <w:t>nebylo možné jejich použití.</w:t>
      </w:r>
      <w:r w:rsidRPr="0096333A">
        <w:t xml:space="preserve"> </w:t>
      </w:r>
      <w:r w:rsidRPr="0096333A">
        <w:rPr>
          <w:rFonts w:cstheme="minorHAnsi"/>
          <w:bCs/>
          <w:color w:val="000000" w:themeColor="text1"/>
        </w:rPr>
        <w:t>Zadavateli stačí pořídit standardní plnění.</w:t>
      </w:r>
    </w:p>
    <w:p w14:paraId="3586984C" w14:textId="152AB8FE" w:rsidR="005E7ACE" w:rsidRPr="005E7ACE" w:rsidRDefault="00EF2723" w:rsidP="005E7ACE">
      <w:pPr>
        <w:pStyle w:val="Nadpis2"/>
        <w:rPr>
          <w:rFonts w:eastAsia="Times New Roman"/>
          <w:lang w:eastAsia="cs-CZ"/>
        </w:rPr>
      </w:pPr>
      <w:bookmarkStart w:id="11" w:name="_Toc179958160"/>
      <w:r>
        <w:rPr>
          <w:rFonts w:eastAsia="Times New Roman"/>
          <w:lang w:eastAsia="cs-CZ"/>
        </w:rPr>
        <w:t>Krycí list</w:t>
      </w:r>
      <w:bookmarkEnd w:id="11"/>
    </w:p>
    <w:p w14:paraId="4E7FA237" w14:textId="3EA0A682" w:rsidR="00EF2723" w:rsidRPr="0080125B" w:rsidRDefault="00EF2723" w:rsidP="00EF2723">
      <w:pPr>
        <w:pStyle w:val="Bezmezer"/>
        <w:jc w:val="both"/>
        <w:rPr>
          <w:lang w:eastAsia="cs-CZ"/>
        </w:rPr>
      </w:pPr>
      <w:r w:rsidRPr="0080125B">
        <w:rPr>
          <w:rFonts w:ascii="Calibri" w:eastAsia="Times New Roman" w:hAnsi="Calibri" w:cs="Calibri"/>
          <w:szCs w:val="24"/>
          <w:lang w:eastAsia="cs-CZ"/>
        </w:rPr>
        <w:t>Dodavatel předloží v nabídce vyplněn</w:t>
      </w:r>
      <w:r w:rsidR="00630D1A">
        <w:rPr>
          <w:rFonts w:ascii="Calibri" w:eastAsia="Times New Roman" w:hAnsi="Calibri" w:cs="Calibri"/>
          <w:szCs w:val="24"/>
          <w:lang w:eastAsia="cs-CZ"/>
        </w:rPr>
        <w:t xml:space="preserve">ou </w:t>
      </w:r>
      <w:r w:rsidR="00630D1A" w:rsidRPr="00630D1A">
        <w:rPr>
          <w:rFonts w:ascii="Calibri" w:eastAsia="Times New Roman" w:hAnsi="Calibri" w:cs="Calibri"/>
          <w:b/>
          <w:szCs w:val="24"/>
          <w:lang w:eastAsia="cs-CZ"/>
        </w:rPr>
        <w:t>Technick</w:t>
      </w:r>
      <w:r w:rsidR="00630D1A">
        <w:rPr>
          <w:rFonts w:ascii="Calibri" w:eastAsia="Times New Roman" w:hAnsi="Calibri" w:cs="Calibri"/>
          <w:b/>
          <w:szCs w:val="24"/>
          <w:lang w:eastAsia="cs-CZ"/>
        </w:rPr>
        <w:t>ou</w:t>
      </w:r>
      <w:r w:rsidR="00630D1A" w:rsidRPr="00630D1A">
        <w:rPr>
          <w:rFonts w:ascii="Calibri" w:eastAsia="Times New Roman" w:hAnsi="Calibri" w:cs="Calibri"/>
          <w:b/>
          <w:szCs w:val="24"/>
          <w:lang w:eastAsia="cs-CZ"/>
        </w:rPr>
        <w:t xml:space="preserve"> specifikac</w:t>
      </w:r>
      <w:r w:rsidR="00630D1A">
        <w:rPr>
          <w:rFonts w:ascii="Calibri" w:eastAsia="Times New Roman" w:hAnsi="Calibri" w:cs="Calibri"/>
          <w:b/>
          <w:szCs w:val="24"/>
          <w:lang w:eastAsia="cs-CZ"/>
        </w:rPr>
        <w:t>i</w:t>
      </w:r>
      <w:r w:rsidR="00630D1A" w:rsidRPr="00630D1A">
        <w:rPr>
          <w:rFonts w:ascii="Calibri" w:eastAsia="Times New Roman" w:hAnsi="Calibri" w:cs="Calibri"/>
          <w:b/>
          <w:szCs w:val="24"/>
          <w:lang w:eastAsia="cs-CZ"/>
        </w:rPr>
        <w:t xml:space="preserve"> včetně ocenění</w:t>
      </w:r>
      <w:r w:rsidRPr="0080125B">
        <w:rPr>
          <w:rFonts w:ascii="Calibri" w:eastAsia="Times New Roman" w:hAnsi="Calibri" w:cs="Calibri"/>
          <w:b/>
          <w:szCs w:val="24"/>
          <w:lang w:eastAsia="cs-CZ"/>
        </w:rPr>
        <w:t>,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kter</w:t>
      </w:r>
      <w:r w:rsidR="00630D1A">
        <w:rPr>
          <w:rFonts w:ascii="Calibri" w:eastAsia="Times New Roman" w:hAnsi="Calibri" w:cs="Calibri"/>
          <w:szCs w:val="24"/>
          <w:lang w:eastAsia="cs-CZ"/>
        </w:rPr>
        <w:t>á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tvoří Přílohu č. </w:t>
      </w:r>
      <w:r w:rsidR="0080125B" w:rsidRPr="0080125B">
        <w:rPr>
          <w:rFonts w:ascii="Calibri" w:eastAsia="Times New Roman" w:hAnsi="Calibri" w:cs="Calibri"/>
          <w:szCs w:val="24"/>
          <w:lang w:eastAsia="cs-CZ"/>
        </w:rPr>
        <w:t>1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. </w:t>
      </w:r>
      <w:r w:rsidR="00B75823" w:rsidRPr="0080125B">
        <w:rPr>
          <w:rFonts w:ascii="Calibri" w:eastAsia="Times New Roman" w:hAnsi="Calibri" w:cs="Calibri"/>
          <w:szCs w:val="24"/>
          <w:lang w:eastAsia="cs-CZ"/>
        </w:rPr>
        <w:t>V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</w:t>
      </w:r>
      <w:r w:rsidR="00630D1A">
        <w:rPr>
          <w:rFonts w:ascii="Calibri" w:eastAsia="Times New Roman" w:hAnsi="Calibri" w:cs="Calibri"/>
          <w:szCs w:val="24"/>
          <w:lang w:eastAsia="cs-CZ"/>
        </w:rPr>
        <w:t>dokumentu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dodavatel vyplní identifikační údaje, celkovou n</w:t>
      </w:r>
      <w:r w:rsidR="00B472CE" w:rsidRPr="0080125B">
        <w:rPr>
          <w:rFonts w:ascii="Calibri" w:eastAsia="Times New Roman" w:hAnsi="Calibri" w:cs="Calibri"/>
          <w:szCs w:val="24"/>
          <w:lang w:eastAsia="cs-CZ"/>
        </w:rPr>
        <w:t xml:space="preserve">abídkovou cenu, položkové ceny </w:t>
      </w:r>
      <w:r w:rsidRPr="0080125B">
        <w:rPr>
          <w:rFonts w:ascii="Calibri" w:eastAsia="Times New Roman" w:hAnsi="Calibri" w:cs="Calibri"/>
          <w:szCs w:val="24"/>
          <w:lang w:eastAsia="cs-CZ"/>
        </w:rPr>
        <w:t>a stvrdí prohlášení o akceptaci zadávacích</w:t>
      </w:r>
      <w:r w:rsidR="00225D91">
        <w:rPr>
          <w:rFonts w:ascii="Calibri" w:eastAsia="Times New Roman" w:hAnsi="Calibri" w:cs="Calibri"/>
          <w:szCs w:val="24"/>
          <w:lang w:eastAsia="cs-CZ"/>
        </w:rPr>
        <w:t xml:space="preserve"> podmínek a Návrhu </w:t>
      </w:r>
      <w:r w:rsidR="00630D1A">
        <w:rPr>
          <w:rFonts w:ascii="Calibri" w:eastAsia="Times New Roman" w:hAnsi="Calibri" w:cs="Calibri"/>
          <w:szCs w:val="24"/>
          <w:lang w:eastAsia="cs-CZ"/>
        </w:rPr>
        <w:t>rámcové kupní s</w:t>
      </w:r>
      <w:r w:rsidR="003A4FA3">
        <w:rPr>
          <w:rFonts w:ascii="Calibri" w:eastAsia="Times New Roman" w:hAnsi="Calibri" w:cs="Calibri"/>
          <w:lang w:eastAsia="cs-CZ"/>
        </w:rPr>
        <w:t>mlouvy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. </w:t>
      </w:r>
      <w:r w:rsidR="00630D1A" w:rsidRPr="00630D1A">
        <w:rPr>
          <w:rFonts w:ascii="Calibri" w:eastAsia="Times New Roman" w:hAnsi="Calibri" w:cs="Calibri"/>
          <w:szCs w:val="24"/>
          <w:lang w:eastAsia="cs-CZ"/>
        </w:rPr>
        <w:t xml:space="preserve">Technická specifikace včetně ocenění </w:t>
      </w:r>
      <w:r w:rsidRPr="0080125B">
        <w:rPr>
          <w:rFonts w:ascii="Calibri" w:eastAsia="Times New Roman" w:hAnsi="Calibri" w:cs="Calibri"/>
          <w:szCs w:val="24"/>
          <w:lang w:eastAsia="cs-CZ"/>
        </w:rPr>
        <w:t>nemusí být podepsán</w:t>
      </w:r>
      <w:r w:rsidR="00630D1A">
        <w:rPr>
          <w:rFonts w:ascii="Calibri" w:eastAsia="Times New Roman" w:hAnsi="Calibri" w:cs="Calibri"/>
          <w:szCs w:val="24"/>
          <w:lang w:eastAsia="cs-CZ"/>
        </w:rPr>
        <w:t>a</w:t>
      </w:r>
      <w:r w:rsidRPr="0080125B">
        <w:rPr>
          <w:rFonts w:ascii="Calibri" w:eastAsia="Times New Roman" w:hAnsi="Calibri" w:cs="Calibri"/>
          <w:szCs w:val="24"/>
          <w:lang w:eastAsia="cs-CZ"/>
        </w:rPr>
        <w:t>, jedná-li se o elektronickou nabídku nebo je-li podepsána datová zpráva nebo soubor s nabídkou.</w:t>
      </w:r>
    </w:p>
    <w:p w14:paraId="4D971C64" w14:textId="7291BA22" w:rsidR="00EF2723" w:rsidRPr="0080125B" w:rsidRDefault="00EF2723" w:rsidP="000C6316">
      <w:pPr>
        <w:pStyle w:val="Nadpis2"/>
        <w:rPr>
          <w:rFonts w:eastAsia="Times New Roman"/>
          <w:lang w:eastAsia="cs-CZ"/>
        </w:rPr>
      </w:pPr>
      <w:bookmarkStart w:id="12" w:name="_Toc179958161"/>
      <w:r w:rsidRPr="0080125B">
        <w:rPr>
          <w:rFonts w:eastAsia="Times New Roman"/>
          <w:lang w:eastAsia="cs-CZ"/>
        </w:rPr>
        <w:t>Technická specifikace</w:t>
      </w:r>
      <w:bookmarkEnd w:id="12"/>
    </w:p>
    <w:p w14:paraId="39291559" w14:textId="5A1C3980" w:rsidR="00EF2723" w:rsidRDefault="00EF2723" w:rsidP="00EF2723">
      <w:pPr>
        <w:spacing w:after="12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80125B">
        <w:rPr>
          <w:rFonts w:ascii="Calibri" w:eastAsia="Times New Roman" w:hAnsi="Calibri" w:cs="Calibri"/>
          <w:szCs w:val="24"/>
          <w:lang w:eastAsia="cs-CZ"/>
        </w:rPr>
        <w:t>Centrální zadavatel stanovil technick</w:t>
      </w:r>
      <w:r w:rsidR="00AB36D9" w:rsidRPr="0080125B">
        <w:rPr>
          <w:rFonts w:ascii="Calibri" w:eastAsia="Times New Roman" w:hAnsi="Calibri" w:cs="Calibri"/>
          <w:szCs w:val="24"/>
          <w:lang w:eastAsia="cs-CZ"/>
        </w:rPr>
        <w:t xml:space="preserve">é požadavky a parametry 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v Příloze č. </w:t>
      </w:r>
      <w:r w:rsidR="00630D1A">
        <w:rPr>
          <w:rFonts w:ascii="Calibri" w:eastAsia="Times New Roman" w:hAnsi="Calibri" w:cs="Calibri"/>
          <w:szCs w:val="24"/>
          <w:lang w:eastAsia="cs-CZ"/>
        </w:rPr>
        <w:t>1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(Technická specifikace</w:t>
      </w:r>
      <w:r w:rsidR="00630D1A">
        <w:rPr>
          <w:rFonts w:ascii="Calibri" w:eastAsia="Times New Roman" w:hAnsi="Calibri" w:cs="Calibri"/>
          <w:szCs w:val="24"/>
          <w:lang w:eastAsia="cs-CZ"/>
        </w:rPr>
        <w:t xml:space="preserve"> včetně ocenění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). Dodavatel vyplní Přílohu č. </w:t>
      </w:r>
      <w:r w:rsidR="00630D1A">
        <w:rPr>
          <w:rFonts w:ascii="Calibri" w:eastAsia="Times New Roman" w:hAnsi="Calibri" w:cs="Calibri"/>
          <w:szCs w:val="24"/>
          <w:lang w:eastAsia="cs-CZ"/>
        </w:rPr>
        <w:t>1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 w:rsidRPr="0080125B">
        <w:rPr>
          <w:rFonts w:ascii="Calibri" w:eastAsia="Times New Roman" w:hAnsi="Calibri" w:cs="Calibri"/>
          <w:szCs w:val="24"/>
          <w:lang w:eastAsia="cs-CZ"/>
        </w:rPr>
        <w:t>, do které</w:t>
      </w:r>
      <w:r w:rsidR="00091E4F">
        <w:rPr>
          <w:rFonts w:ascii="Calibri" w:eastAsia="Times New Roman" w:hAnsi="Calibri" w:cs="Calibri"/>
          <w:szCs w:val="24"/>
          <w:lang w:eastAsia="cs-CZ"/>
        </w:rPr>
        <w:t xml:space="preserve"> specifikuje nabízené plnění a o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cení požadované položky. Je nepřípustné měnit, upravovat, doplňovat nebo vypouštět položky a parametry </w:t>
      </w:r>
      <w:r w:rsidR="00031362">
        <w:rPr>
          <w:rFonts w:ascii="Calibri" w:eastAsia="Times New Roman" w:hAnsi="Calibri" w:cs="Calibri"/>
          <w:szCs w:val="24"/>
          <w:lang w:eastAsia="cs-CZ"/>
        </w:rPr>
        <w:t>v tabulce technické specifikace. Tato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bude tvoři</w:t>
      </w:r>
      <w:r w:rsidR="00225D91">
        <w:rPr>
          <w:rFonts w:ascii="Calibri" w:eastAsia="Times New Roman" w:hAnsi="Calibri" w:cs="Calibri"/>
          <w:szCs w:val="24"/>
          <w:lang w:eastAsia="cs-CZ"/>
        </w:rPr>
        <w:t xml:space="preserve">t přílohu konečné </w:t>
      </w:r>
      <w:r w:rsidR="003A4FA3">
        <w:rPr>
          <w:rFonts w:ascii="Calibri" w:eastAsia="Times New Roman" w:hAnsi="Calibri" w:cs="Calibri"/>
          <w:lang w:eastAsia="cs-CZ"/>
        </w:rPr>
        <w:t>Smlouvy</w:t>
      </w:r>
      <w:r w:rsidRPr="0080125B">
        <w:rPr>
          <w:rFonts w:ascii="Calibri" w:eastAsia="Times New Roman" w:hAnsi="Calibri" w:cs="Calibri"/>
          <w:szCs w:val="24"/>
          <w:lang w:eastAsia="cs-CZ"/>
        </w:rPr>
        <w:t>.</w:t>
      </w:r>
    </w:p>
    <w:p w14:paraId="05D33748" w14:textId="57D56661" w:rsidR="00585818" w:rsidRPr="00617899" w:rsidRDefault="00585818" w:rsidP="00585818">
      <w:pPr>
        <w:pStyle w:val="Nadpis2"/>
      </w:pPr>
      <w:bookmarkStart w:id="13" w:name="_Toc179958162"/>
      <w:r>
        <w:rPr>
          <w:rFonts w:eastAsia="Times New Roman"/>
          <w:lang w:eastAsia="cs-CZ"/>
        </w:rPr>
        <w:t>Vzor</w:t>
      </w:r>
      <w:r w:rsidR="00B97F41">
        <w:rPr>
          <w:rFonts w:eastAsia="Times New Roman"/>
          <w:lang w:eastAsia="cs-CZ"/>
        </w:rPr>
        <w:t>e</w:t>
      </w:r>
      <w:r>
        <w:rPr>
          <w:rFonts w:eastAsia="Times New Roman"/>
          <w:lang w:eastAsia="cs-CZ"/>
        </w:rPr>
        <w:t>k</w:t>
      </w:r>
      <w:bookmarkEnd w:id="13"/>
    </w:p>
    <w:p w14:paraId="01A5E271" w14:textId="77777777" w:rsidR="00607D39" w:rsidRDefault="00B32894" w:rsidP="00B97F41">
      <w:pPr>
        <w:spacing w:after="12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DD08CD">
        <w:rPr>
          <w:rFonts w:ascii="Calibri" w:eastAsia="Times New Roman" w:hAnsi="Calibri" w:cs="Calibri"/>
          <w:szCs w:val="24"/>
          <w:lang w:eastAsia="cs-CZ"/>
        </w:rPr>
        <w:t>Centrální zadavatel</w:t>
      </w:r>
      <w:r w:rsidR="00B97F41" w:rsidRPr="00DD08CD">
        <w:rPr>
          <w:rFonts w:ascii="Calibri" w:eastAsia="Times New Roman" w:hAnsi="Calibri" w:cs="Calibri"/>
          <w:szCs w:val="24"/>
          <w:lang w:eastAsia="cs-CZ"/>
        </w:rPr>
        <w:t xml:space="preserve"> požaduje předložení </w:t>
      </w:r>
      <w:r w:rsidR="00B97F41" w:rsidRPr="00DD08CD">
        <w:rPr>
          <w:rFonts w:ascii="Calibri" w:eastAsia="Times New Roman" w:hAnsi="Calibri" w:cs="Calibri"/>
          <w:b/>
          <w:bCs/>
          <w:szCs w:val="24"/>
          <w:lang w:eastAsia="cs-CZ"/>
        </w:rPr>
        <w:t xml:space="preserve">vzorku </w:t>
      </w:r>
      <w:r w:rsidR="00B97F41" w:rsidRPr="00DD08CD">
        <w:rPr>
          <w:rFonts w:ascii="Calibri" w:eastAsia="Times New Roman" w:hAnsi="Calibri" w:cs="Calibri"/>
          <w:szCs w:val="24"/>
          <w:lang w:eastAsia="cs-CZ"/>
        </w:rPr>
        <w:t xml:space="preserve">nabízeného plnění. </w:t>
      </w:r>
      <w:r w:rsidRPr="00DD08CD">
        <w:rPr>
          <w:rFonts w:ascii="Calibri" w:eastAsia="Times New Roman" w:hAnsi="Calibri" w:cs="Calibri"/>
          <w:szCs w:val="24"/>
          <w:lang w:eastAsia="cs-CZ"/>
        </w:rPr>
        <w:t>Centrální zadavatel</w:t>
      </w:r>
      <w:r w:rsidR="00B97F41" w:rsidRPr="00DD08CD">
        <w:rPr>
          <w:rFonts w:ascii="Calibri" w:eastAsia="Times New Roman" w:hAnsi="Calibri" w:cs="Calibri"/>
          <w:szCs w:val="24"/>
          <w:lang w:eastAsia="cs-CZ"/>
        </w:rPr>
        <w:t xml:space="preserve"> požaduje, aby dodavatel ve své nabídce předložil vzorky výrobků určených k dodání, pro každou položku. </w:t>
      </w:r>
    </w:p>
    <w:p w14:paraId="384C88A7" w14:textId="38E38D02" w:rsidR="00B97F41" w:rsidRPr="00B97F41" w:rsidRDefault="00607D39" w:rsidP="00B97F41">
      <w:pPr>
        <w:spacing w:after="12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607D39">
        <w:rPr>
          <w:rFonts w:ascii="Calibri" w:eastAsia="Times New Roman" w:hAnsi="Calibri" w:cs="Calibri"/>
          <w:szCs w:val="24"/>
          <w:lang w:eastAsia="cs-CZ"/>
        </w:rPr>
        <w:t>Dodavatel je povinen dodat dvě neporušená, originální, spotřebitelská balení od každé varianty (typ x absorpční třída x velikost) uvedené v technické dokumentaci a doklad prokazující shodu nabízeného zboží s požadovanými normami a technické listy.</w:t>
      </w:r>
      <w:r w:rsidR="00B97F41" w:rsidRPr="00B97F41">
        <w:rPr>
          <w:rFonts w:ascii="Calibri" w:eastAsia="Times New Roman" w:hAnsi="Calibri" w:cs="Calibri"/>
          <w:szCs w:val="24"/>
          <w:lang w:eastAsia="cs-CZ"/>
        </w:rPr>
        <w:t xml:space="preserve"> </w:t>
      </w:r>
    </w:p>
    <w:p w14:paraId="6B235145" w14:textId="340C9C10" w:rsidR="00B97F41" w:rsidRPr="00B97F41" w:rsidRDefault="00B97F41" w:rsidP="00B97F41">
      <w:pPr>
        <w:spacing w:after="12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B97F41">
        <w:rPr>
          <w:rFonts w:ascii="Calibri" w:eastAsia="Times New Roman" w:hAnsi="Calibri" w:cs="Calibri"/>
          <w:szCs w:val="24"/>
          <w:lang w:eastAsia="cs-CZ"/>
        </w:rPr>
        <w:t xml:space="preserve">Vzorek bude součástí nabídky. </w:t>
      </w:r>
      <w:r w:rsidRPr="00B97F41">
        <w:rPr>
          <w:rFonts w:ascii="Calibri" w:eastAsia="Times New Roman" w:hAnsi="Calibri" w:cs="Calibri"/>
          <w:b/>
          <w:bCs/>
          <w:szCs w:val="24"/>
          <w:lang w:eastAsia="cs-CZ"/>
        </w:rPr>
        <w:t>Dodavatel doručí vzorek řádně zabalený a označený na adresu centrálního zadavatele ve lhůtě pro podání nabídek</w:t>
      </w:r>
      <w:r w:rsidRPr="00B97F41">
        <w:rPr>
          <w:rFonts w:ascii="Calibri" w:eastAsia="Times New Roman" w:hAnsi="Calibri" w:cs="Calibri"/>
          <w:szCs w:val="24"/>
          <w:lang w:eastAsia="cs-CZ"/>
        </w:rPr>
        <w:t xml:space="preserve">. Další informace o způsobu podání je v čl. </w:t>
      </w:r>
      <w:r>
        <w:rPr>
          <w:rFonts w:ascii="Calibri" w:eastAsia="Times New Roman" w:hAnsi="Calibri" w:cs="Calibri"/>
          <w:szCs w:val="24"/>
          <w:lang w:eastAsia="cs-CZ"/>
        </w:rPr>
        <w:t xml:space="preserve">7. 2. </w:t>
      </w:r>
      <w:r w:rsidRPr="00B97F41">
        <w:rPr>
          <w:rFonts w:ascii="Calibri" w:eastAsia="Times New Roman" w:hAnsi="Calibri" w:cs="Calibri"/>
          <w:szCs w:val="24"/>
          <w:lang w:eastAsia="cs-CZ"/>
        </w:rPr>
        <w:t xml:space="preserve">této </w:t>
      </w:r>
      <w:r>
        <w:rPr>
          <w:rFonts w:ascii="Calibri" w:eastAsia="Times New Roman" w:hAnsi="Calibri" w:cs="Calibri"/>
          <w:szCs w:val="24"/>
          <w:lang w:eastAsia="cs-CZ"/>
        </w:rPr>
        <w:t>Výzvy</w:t>
      </w:r>
      <w:r w:rsidRPr="00B97F41">
        <w:rPr>
          <w:rFonts w:ascii="Calibri" w:eastAsia="Times New Roman" w:hAnsi="Calibri" w:cs="Calibri"/>
          <w:szCs w:val="24"/>
          <w:lang w:eastAsia="cs-CZ"/>
        </w:rPr>
        <w:t xml:space="preserve">. </w:t>
      </w:r>
    </w:p>
    <w:p w14:paraId="44F1C5C4" w14:textId="71D3F444" w:rsidR="00B97F41" w:rsidRPr="00B97F41" w:rsidRDefault="00B97F41" w:rsidP="00B97F41">
      <w:pPr>
        <w:spacing w:after="12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B97F41">
        <w:rPr>
          <w:rFonts w:ascii="Calibri" w:eastAsia="Times New Roman" w:hAnsi="Calibri" w:cs="Calibri"/>
          <w:szCs w:val="24"/>
          <w:lang w:eastAsia="cs-CZ"/>
        </w:rPr>
        <w:t xml:space="preserve">Předložený vzorek musí odpovídat zboží, které dodavatel bude poskytovat po celou dobu plnění Rámcové </w:t>
      </w:r>
      <w:r>
        <w:rPr>
          <w:rFonts w:ascii="Calibri" w:eastAsia="Times New Roman" w:hAnsi="Calibri" w:cs="Calibri"/>
          <w:szCs w:val="24"/>
          <w:lang w:eastAsia="cs-CZ"/>
        </w:rPr>
        <w:t>kupní smlouvy</w:t>
      </w:r>
      <w:r w:rsidRPr="00B97F41">
        <w:rPr>
          <w:rFonts w:ascii="Calibri" w:eastAsia="Times New Roman" w:hAnsi="Calibri" w:cs="Calibri"/>
          <w:szCs w:val="24"/>
          <w:lang w:eastAsia="cs-CZ"/>
        </w:rPr>
        <w:t xml:space="preserve">. </w:t>
      </w:r>
    </w:p>
    <w:p w14:paraId="12B6C54A" w14:textId="77777777" w:rsidR="008B33CA" w:rsidRPr="00617899" w:rsidRDefault="008B33CA" w:rsidP="008B33CA">
      <w:pPr>
        <w:pStyle w:val="Nadpis2"/>
        <w:jc w:val="both"/>
      </w:pPr>
      <w:bookmarkStart w:id="14" w:name="_Toc179958163"/>
      <w:bookmarkStart w:id="15" w:name="_Toc114702038"/>
      <w:r w:rsidRPr="00617899">
        <w:rPr>
          <w:rFonts w:eastAsia="Times New Roman"/>
          <w:lang w:eastAsia="cs-CZ"/>
        </w:rPr>
        <w:t>Katalog</w:t>
      </w:r>
      <w:bookmarkEnd w:id="14"/>
      <w:r w:rsidRPr="00617899">
        <w:rPr>
          <w:rFonts w:eastAsia="Times New Roman"/>
          <w:lang w:eastAsia="cs-CZ"/>
        </w:rPr>
        <w:t xml:space="preserve"> </w:t>
      </w:r>
      <w:bookmarkEnd w:id="15"/>
    </w:p>
    <w:p w14:paraId="298A5854" w14:textId="77777777" w:rsidR="00EB5099" w:rsidRDefault="00EB5099" w:rsidP="00AC4287">
      <w:pPr>
        <w:spacing w:before="120" w:after="120" w:line="240" w:lineRule="auto"/>
        <w:jc w:val="both"/>
      </w:pPr>
      <w:r w:rsidRPr="00EB5099">
        <w:t>Dodavatel předloží v rámci nabídky textový nebo obrazový katalog s popisem a dostatečně přesnou specifikací nabízeného předmětu plnění pro každou nabízenou položku VZ.</w:t>
      </w:r>
      <w:r>
        <w:t xml:space="preserve"> </w:t>
      </w:r>
    </w:p>
    <w:p w14:paraId="38E56CE0" w14:textId="3B6B6835" w:rsidR="00EB5099" w:rsidRDefault="00EB5099" w:rsidP="00AC4287">
      <w:pPr>
        <w:spacing w:before="120" w:after="120" w:line="240" w:lineRule="auto"/>
        <w:jc w:val="both"/>
      </w:pPr>
      <w:r w:rsidRPr="00EB5099">
        <w:lastRenderedPageBreak/>
        <w:t>Dodavatel může též doložit i katalog, prospekt nebo jiný doklad, ze kterého budou patrné všechny podstatné vlastnosti předmětu plnění</w:t>
      </w:r>
      <w:r>
        <w:t xml:space="preserve">              </w:t>
      </w:r>
    </w:p>
    <w:p w14:paraId="0F0D27F8" w14:textId="77777777" w:rsidR="00DB5BC2" w:rsidRPr="002E5DAB" w:rsidRDefault="00DB5BC2" w:rsidP="00DB5BC2">
      <w:pPr>
        <w:keepNext/>
        <w:keepLines/>
        <w:numPr>
          <w:ilvl w:val="1"/>
          <w:numId w:val="17"/>
        </w:numPr>
        <w:spacing w:before="120" w:after="120"/>
        <w:outlineLvl w:val="1"/>
        <w:rPr>
          <w:rFonts w:eastAsia="Times New Roman" w:cstheme="majorBidi"/>
          <w:b/>
          <w:color w:val="000000" w:themeColor="text1"/>
          <w:sz w:val="26"/>
          <w:szCs w:val="26"/>
          <w:lang w:eastAsia="cs-CZ"/>
        </w:rPr>
      </w:pPr>
      <w:bookmarkStart w:id="16" w:name="_Toc57372437"/>
      <w:bookmarkStart w:id="17" w:name="_Toc63950045"/>
      <w:bookmarkStart w:id="18" w:name="_Toc179958164"/>
      <w:r w:rsidRPr="002E5DAB">
        <w:rPr>
          <w:rFonts w:eastAsia="Times New Roman" w:cstheme="majorBidi"/>
          <w:b/>
          <w:color w:val="000000" w:themeColor="text1"/>
          <w:sz w:val="26"/>
          <w:szCs w:val="26"/>
          <w:lang w:eastAsia="cs-CZ"/>
        </w:rPr>
        <w:t>Požadavky kontrolního orgánu</w:t>
      </w:r>
      <w:bookmarkEnd w:id="16"/>
      <w:bookmarkEnd w:id="17"/>
      <w:bookmarkEnd w:id="18"/>
    </w:p>
    <w:p w14:paraId="06C313AA" w14:textId="77777777" w:rsidR="00DB5BC2" w:rsidRDefault="00DB5BC2" w:rsidP="00DB5BC2">
      <w:pPr>
        <w:spacing w:after="0" w:line="240" w:lineRule="auto"/>
        <w:jc w:val="both"/>
        <w:rPr>
          <w:color w:val="000000" w:themeColor="text1"/>
          <w:lang w:eastAsia="cs-CZ"/>
        </w:rPr>
      </w:pPr>
      <w:r w:rsidRPr="00CD461D">
        <w:rPr>
          <w:color w:val="000000" w:themeColor="text1"/>
          <w:lang w:eastAsia="cs-CZ"/>
        </w:rPr>
        <w:t>Dod</w:t>
      </w:r>
      <w:r>
        <w:rPr>
          <w:color w:val="000000" w:themeColor="text1"/>
          <w:lang w:eastAsia="cs-CZ"/>
        </w:rPr>
        <w:t xml:space="preserve">avatel poskytne součinnost </w:t>
      </w:r>
      <w:r w:rsidRPr="00CD461D">
        <w:rPr>
          <w:color w:val="000000" w:themeColor="text1"/>
          <w:lang w:eastAsia="cs-CZ"/>
        </w:rPr>
        <w:t>při výkonu finanční kontroly podle zákona č. 320/2001 Sb., o finanční kontrole, v platném znění.</w:t>
      </w:r>
    </w:p>
    <w:p w14:paraId="02C90DB2" w14:textId="77777777" w:rsidR="00EF2723" w:rsidRPr="002B03F4" w:rsidRDefault="00EF2723" w:rsidP="000C6316">
      <w:pPr>
        <w:pStyle w:val="Nadpis1"/>
        <w:rPr>
          <w:rFonts w:eastAsia="Times New Roman"/>
          <w:lang w:eastAsia="cs-CZ"/>
        </w:rPr>
      </w:pPr>
      <w:bookmarkStart w:id="19" w:name="_Toc179958165"/>
      <w:r w:rsidRPr="002B03F4">
        <w:rPr>
          <w:rFonts w:eastAsia="Times New Roman"/>
          <w:lang w:eastAsia="cs-CZ"/>
        </w:rPr>
        <w:t>NABÍDKOVÁ CENA</w:t>
      </w:r>
      <w:bookmarkEnd w:id="19"/>
    </w:p>
    <w:p w14:paraId="761F1C95" w14:textId="3FA69665" w:rsidR="00EF2723" w:rsidRPr="007A6E3A" w:rsidRDefault="00EF2723" w:rsidP="000C6316">
      <w:pPr>
        <w:pStyle w:val="Nadpis2"/>
        <w:rPr>
          <w:rFonts w:eastAsia="Times New Roman"/>
          <w:lang w:eastAsia="cs-CZ"/>
        </w:rPr>
      </w:pPr>
      <w:bookmarkStart w:id="20" w:name="_Toc179958166"/>
      <w:r w:rsidRPr="007A6E3A">
        <w:rPr>
          <w:rFonts w:eastAsia="Times New Roman"/>
          <w:lang w:eastAsia="cs-CZ"/>
        </w:rPr>
        <w:t>Zpracování nabídkové ceny</w:t>
      </w:r>
      <w:bookmarkEnd w:id="20"/>
    </w:p>
    <w:p w14:paraId="039D320F" w14:textId="063B7C8E" w:rsidR="00BC2DD6" w:rsidRPr="00471AF9" w:rsidRDefault="00EF2723" w:rsidP="00AB36D9">
      <w:pPr>
        <w:pStyle w:val="Bezmezer"/>
        <w:jc w:val="both"/>
        <w:rPr>
          <w:lang w:eastAsia="cs-CZ"/>
        </w:rPr>
      </w:pPr>
      <w:r w:rsidRPr="00471AF9">
        <w:rPr>
          <w:lang w:eastAsia="cs-CZ"/>
        </w:rPr>
        <w:t xml:space="preserve">Dodavatel zpracuje nabídkovou cenu vyplněním </w:t>
      </w:r>
      <w:r w:rsidR="00EB5099" w:rsidRPr="00EB5099">
        <w:rPr>
          <w:lang w:eastAsia="cs-CZ"/>
        </w:rPr>
        <w:t>Technick</w:t>
      </w:r>
      <w:r w:rsidR="00EB5099">
        <w:rPr>
          <w:lang w:eastAsia="cs-CZ"/>
        </w:rPr>
        <w:t>é</w:t>
      </w:r>
      <w:r w:rsidR="00EB5099" w:rsidRPr="00EB5099">
        <w:rPr>
          <w:lang w:eastAsia="cs-CZ"/>
        </w:rPr>
        <w:t xml:space="preserve"> specifikace včetně ocenění </w:t>
      </w:r>
      <w:r w:rsidR="00EB5099">
        <w:rPr>
          <w:lang w:eastAsia="cs-CZ"/>
        </w:rPr>
        <w:t xml:space="preserve">(Příloha č. </w:t>
      </w:r>
      <w:r w:rsidR="00DD08CD">
        <w:rPr>
          <w:lang w:eastAsia="cs-CZ"/>
        </w:rPr>
        <w:t>1</w:t>
      </w:r>
      <w:r w:rsidR="00EB5099">
        <w:rPr>
          <w:lang w:eastAsia="cs-CZ"/>
        </w:rPr>
        <w:t xml:space="preserve"> Výzvy) </w:t>
      </w:r>
      <w:r w:rsidR="00EB5099" w:rsidRPr="00EB5099">
        <w:rPr>
          <w:lang w:eastAsia="cs-CZ"/>
        </w:rPr>
        <w:t>ve které vyplní položkové nabídkové ceny v Kč bez DPH</w:t>
      </w:r>
      <w:r w:rsidR="008F1615">
        <w:rPr>
          <w:lang w:eastAsia="cs-CZ"/>
        </w:rPr>
        <w:t xml:space="preserve">, </w:t>
      </w:r>
      <w:r w:rsidR="00EB5099" w:rsidRPr="00EB5099">
        <w:rPr>
          <w:lang w:eastAsia="cs-CZ"/>
        </w:rPr>
        <w:t>v Kč včetně DPH</w:t>
      </w:r>
      <w:r w:rsidR="00911FF8">
        <w:rPr>
          <w:lang w:eastAsia="cs-CZ"/>
        </w:rPr>
        <w:t xml:space="preserve"> a výši DPH</w:t>
      </w:r>
      <w:r w:rsidR="00AB36D9" w:rsidRPr="00471AF9">
        <w:rPr>
          <w:lang w:eastAsia="cs-CZ"/>
        </w:rPr>
        <w:t xml:space="preserve">. Nabídková cena </w:t>
      </w:r>
      <w:r w:rsidRPr="00471AF9">
        <w:rPr>
          <w:lang w:eastAsia="cs-CZ"/>
        </w:rPr>
        <w:t>všech položek je pevná a zahrnuje veškeré náklady dodavatele související s plněním veřejné zakázky.</w:t>
      </w:r>
      <w:r w:rsidR="00AB36D9" w:rsidRPr="00471AF9">
        <w:rPr>
          <w:lang w:eastAsia="cs-CZ"/>
        </w:rPr>
        <w:t xml:space="preserve"> Ke zvýšení nabídkové ceny může dojít jen výjimečně v souladu se zákonem, například při změně sazby DP</w:t>
      </w:r>
      <w:r w:rsidR="004F2F36">
        <w:rPr>
          <w:lang w:eastAsia="cs-CZ"/>
        </w:rPr>
        <w:t xml:space="preserve">H, nebo pokud je to vyhrazeno ve </w:t>
      </w:r>
      <w:r w:rsidR="004F2F36">
        <w:rPr>
          <w:rFonts w:ascii="Calibri" w:eastAsia="Times New Roman" w:hAnsi="Calibri" w:cs="Calibri"/>
          <w:szCs w:val="24"/>
          <w:lang w:eastAsia="cs-CZ"/>
        </w:rPr>
        <w:t>Výzvě</w:t>
      </w:r>
      <w:r w:rsidR="00AB36D9" w:rsidRPr="00471AF9">
        <w:rPr>
          <w:lang w:eastAsia="cs-CZ"/>
        </w:rPr>
        <w:t xml:space="preserve">. </w:t>
      </w:r>
      <w:r w:rsidR="00BC2DD6" w:rsidRPr="00471AF9">
        <w:rPr>
          <w:rFonts w:ascii="Calibri" w:hAnsi="Calibri"/>
          <w:b/>
          <w:lang w:eastAsia="cs-CZ"/>
        </w:rPr>
        <w:t>Dodavatel nesmí měnit, slučovat nebo vypouštět položky jednotlivých dodávek</w:t>
      </w:r>
      <w:r w:rsidR="00BC2DD6" w:rsidRPr="00471AF9">
        <w:rPr>
          <w:rFonts w:ascii="Calibri" w:hAnsi="Calibri"/>
          <w:lang w:eastAsia="cs-CZ"/>
        </w:rPr>
        <w:t xml:space="preserve">, které obsahuje tato příloha nebo Krycí list. Nerespektování příslušné přílohy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 w:rsidR="00BC2DD6" w:rsidRPr="00471AF9">
        <w:rPr>
          <w:rFonts w:ascii="Calibri" w:hAnsi="Calibri"/>
          <w:lang w:eastAsia="cs-CZ"/>
        </w:rPr>
        <w:t xml:space="preserve"> při výpočtu a stanovení nabídkové ceny může vést k</w:t>
      </w:r>
      <w:r w:rsidR="003E2B41" w:rsidRPr="00471AF9">
        <w:rPr>
          <w:rFonts w:ascii="Calibri" w:hAnsi="Calibri"/>
          <w:lang w:eastAsia="cs-CZ"/>
        </w:rPr>
        <w:t> </w:t>
      </w:r>
      <w:r w:rsidR="00BC2DD6" w:rsidRPr="00471AF9">
        <w:rPr>
          <w:rFonts w:ascii="Calibri" w:hAnsi="Calibri"/>
          <w:lang w:eastAsia="cs-CZ"/>
        </w:rPr>
        <w:t>v</w:t>
      </w:r>
      <w:r w:rsidR="003E2B41" w:rsidRPr="00471AF9">
        <w:rPr>
          <w:rFonts w:ascii="Calibri" w:hAnsi="Calibri"/>
          <w:lang w:eastAsia="cs-CZ"/>
        </w:rPr>
        <w:t>yloučení dodavatele ze zadávacího řízení</w:t>
      </w:r>
      <w:r w:rsidR="00BC2DD6" w:rsidRPr="00471AF9">
        <w:rPr>
          <w:rFonts w:ascii="Calibri" w:hAnsi="Calibri"/>
          <w:lang w:eastAsia="cs-CZ"/>
        </w:rPr>
        <w:t>.</w:t>
      </w:r>
    </w:p>
    <w:p w14:paraId="40960BEB" w14:textId="073F8F32" w:rsidR="00BC2DD6" w:rsidRPr="00AF3EDF" w:rsidRDefault="00BC2DD6" w:rsidP="00BC2DD6">
      <w:pPr>
        <w:spacing w:after="120" w:line="240" w:lineRule="auto"/>
        <w:jc w:val="both"/>
        <w:rPr>
          <w:rFonts w:ascii="Calibri" w:hAnsi="Calibri"/>
          <w:lang w:eastAsia="cs-CZ"/>
        </w:rPr>
      </w:pPr>
      <w:r w:rsidRPr="00471AF9">
        <w:rPr>
          <w:rFonts w:ascii="Calibri" w:hAnsi="Calibri"/>
          <w:lang w:eastAsia="cs-CZ"/>
        </w:rPr>
        <w:t>Celková nabídková cena musí obsahovat veškeré náklady dodavatele spojené s realizací plnění předmětu veřejné zakázky, včetně dopravy</w:t>
      </w:r>
      <w:r w:rsidR="008D0F57" w:rsidRPr="00471AF9">
        <w:rPr>
          <w:rFonts w:ascii="Calibri" w:hAnsi="Calibri"/>
          <w:lang w:eastAsia="cs-CZ"/>
        </w:rPr>
        <w:t>, instalace, montáže, zaškolení, zisku, inflace</w:t>
      </w:r>
      <w:r w:rsidRPr="00471AF9">
        <w:rPr>
          <w:rFonts w:ascii="Calibri" w:hAnsi="Calibri"/>
          <w:lang w:eastAsia="cs-CZ"/>
        </w:rPr>
        <w:t xml:space="preserve"> a jiných </w:t>
      </w:r>
      <w:r w:rsidR="008D0F57" w:rsidRPr="00471AF9">
        <w:rPr>
          <w:rFonts w:ascii="Calibri" w:hAnsi="Calibri"/>
          <w:lang w:eastAsia="cs-CZ"/>
        </w:rPr>
        <w:t>nákladů</w:t>
      </w:r>
      <w:r w:rsidRPr="00471AF9">
        <w:rPr>
          <w:rFonts w:ascii="Calibri" w:hAnsi="Calibri"/>
          <w:lang w:eastAsia="cs-CZ"/>
        </w:rPr>
        <w:t>.</w:t>
      </w:r>
      <w:r w:rsidRPr="00AF3EDF">
        <w:rPr>
          <w:rFonts w:ascii="Calibri" w:hAnsi="Calibri"/>
          <w:lang w:eastAsia="cs-CZ"/>
        </w:rPr>
        <w:t xml:space="preserve"> </w:t>
      </w:r>
    </w:p>
    <w:p w14:paraId="1FB75EB1" w14:textId="2BF595DA" w:rsidR="004D73E5" w:rsidRPr="007A6E3A" w:rsidRDefault="004D73E5" w:rsidP="000C6316">
      <w:pPr>
        <w:pStyle w:val="Nadpis2"/>
        <w:rPr>
          <w:rFonts w:eastAsia="Times New Roman"/>
          <w:lang w:eastAsia="cs-CZ"/>
        </w:rPr>
      </w:pPr>
      <w:bookmarkStart w:id="21" w:name="_Toc179958167"/>
      <w:r>
        <w:rPr>
          <w:rFonts w:eastAsia="Times New Roman"/>
          <w:lang w:eastAsia="cs-CZ"/>
        </w:rPr>
        <w:t>Limitace nabídkové ceny</w:t>
      </w:r>
      <w:bookmarkEnd w:id="21"/>
    </w:p>
    <w:p w14:paraId="356FDE7E" w14:textId="2ECA6A73" w:rsidR="004D73E5" w:rsidRDefault="004D73E5" w:rsidP="00C50572">
      <w:pPr>
        <w:pStyle w:val="Bezmezer"/>
        <w:spacing w:before="120" w:after="120"/>
        <w:jc w:val="both"/>
        <w:rPr>
          <w:lang w:eastAsia="cs-CZ"/>
        </w:rPr>
      </w:pPr>
      <w:r>
        <w:rPr>
          <w:lang w:eastAsia="cs-CZ"/>
        </w:rPr>
        <w:t xml:space="preserve">Centrální zadavatel </w:t>
      </w:r>
      <w:r w:rsidR="00031362">
        <w:rPr>
          <w:lang w:eastAsia="cs-CZ"/>
        </w:rPr>
        <w:t>stanoví, že celková nabídková cena nesmí překročit předpokládanou hodnotu veřejné zakázky uvedenou ve čl. 2.1 Výzvy.</w:t>
      </w:r>
    </w:p>
    <w:p w14:paraId="0CC29CF6" w14:textId="77777777" w:rsidR="00EF2723" w:rsidRPr="00FB7DEE" w:rsidRDefault="00EF2723" w:rsidP="000C6316">
      <w:pPr>
        <w:pStyle w:val="Nadpis1"/>
        <w:rPr>
          <w:rFonts w:eastAsia="Times New Roman"/>
          <w:lang w:eastAsia="cs-CZ"/>
        </w:rPr>
      </w:pPr>
      <w:bookmarkStart w:id="22" w:name="_Toc179958168"/>
      <w:r w:rsidRPr="00FB7DEE">
        <w:rPr>
          <w:rFonts w:eastAsia="Times New Roman"/>
          <w:lang w:eastAsia="cs-CZ"/>
        </w:rPr>
        <w:t>HODNOCENÍ</w:t>
      </w:r>
      <w:bookmarkEnd w:id="22"/>
    </w:p>
    <w:p w14:paraId="210C4144" w14:textId="4010A9A6" w:rsidR="00EF2723" w:rsidRPr="00252149" w:rsidRDefault="00C50572" w:rsidP="000C6316">
      <w:pPr>
        <w:pStyle w:val="Nadpis2"/>
        <w:rPr>
          <w:rFonts w:eastAsia="Times New Roman"/>
          <w:lang w:eastAsia="cs-CZ"/>
        </w:rPr>
      </w:pPr>
      <w:bookmarkStart w:id="23" w:name="_Toc179958169"/>
      <w:r>
        <w:rPr>
          <w:rFonts w:eastAsia="Times New Roman"/>
          <w:lang w:eastAsia="cs-CZ"/>
        </w:rPr>
        <w:t>Hodnoti</w:t>
      </w:r>
      <w:r w:rsidR="00EF2723" w:rsidRPr="00252149">
        <w:rPr>
          <w:rFonts w:eastAsia="Times New Roman"/>
          <w:lang w:eastAsia="cs-CZ"/>
        </w:rPr>
        <w:t>cí kritérium</w:t>
      </w:r>
      <w:bookmarkEnd w:id="23"/>
    </w:p>
    <w:p w14:paraId="6E309482" w14:textId="4C1C2E8E" w:rsidR="00EF2723" w:rsidRDefault="00EF2723" w:rsidP="00EF2723">
      <w:pPr>
        <w:pStyle w:val="Bezmezer"/>
        <w:rPr>
          <w:lang w:eastAsia="cs-CZ"/>
        </w:rPr>
      </w:pPr>
      <w:r>
        <w:rPr>
          <w:lang w:eastAsia="cs-CZ"/>
        </w:rPr>
        <w:t xml:space="preserve">Nabídky budou hodnoceny podle ekonomické výhodnosti, a to podle </w:t>
      </w:r>
      <w:r w:rsidRPr="00252149">
        <w:rPr>
          <w:b/>
          <w:lang w:eastAsia="cs-CZ"/>
        </w:rPr>
        <w:t>nejnižší celkové nabídkové ceny v Kč</w:t>
      </w:r>
      <w:r>
        <w:rPr>
          <w:lang w:eastAsia="cs-CZ"/>
        </w:rPr>
        <w:t xml:space="preserve"> bez DPH.</w:t>
      </w:r>
    </w:p>
    <w:p w14:paraId="07C534D6" w14:textId="4CB10302" w:rsidR="00EF2723" w:rsidRPr="006E16AC" w:rsidRDefault="00EF2723" w:rsidP="000C6316">
      <w:pPr>
        <w:pStyle w:val="Nadpis2"/>
        <w:rPr>
          <w:rFonts w:eastAsia="Times New Roman"/>
          <w:lang w:eastAsia="cs-CZ"/>
        </w:rPr>
      </w:pPr>
      <w:bookmarkStart w:id="24" w:name="_Toc179958170"/>
      <w:r w:rsidRPr="006E16AC">
        <w:rPr>
          <w:rFonts w:eastAsia="Times New Roman"/>
          <w:lang w:eastAsia="cs-CZ"/>
        </w:rPr>
        <w:t>Způsob hodnocení nabídek</w:t>
      </w:r>
      <w:bookmarkEnd w:id="24"/>
    </w:p>
    <w:p w14:paraId="3388B43C" w14:textId="2018C042" w:rsidR="00EF2723" w:rsidRDefault="00EF2723" w:rsidP="00EF2723">
      <w:pPr>
        <w:pStyle w:val="Bezmezer"/>
        <w:jc w:val="both"/>
        <w:rPr>
          <w:lang w:eastAsia="cs-CZ"/>
        </w:rPr>
      </w:pPr>
      <w:r w:rsidRPr="00471AF9">
        <w:rPr>
          <w:lang w:eastAsia="cs-CZ"/>
        </w:rPr>
        <w:t>Po otevření nabídek budou porovnány celkové nabídkové ceny dodavatelů v Kč bez DPH. V případě, že podá nabídku neplátce, bude jeho nabídková cena porovnána s cenami plátců v Kč bez DPH. U dodavatele prvního v pořadí bude provedena kontrola obsahu  nabídky, potom centrální zadavatel rozhodne o výběru.</w:t>
      </w:r>
    </w:p>
    <w:p w14:paraId="442F1A4D" w14:textId="77777777" w:rsidR="00EF2723" w:rsidRPr="002B03F4" w:rsidRDefault="00EF2723" w:rsidP="000C6316">
      <w:pPr>
        <w:pStyle w:val="Nadpis1"/>
        <w:rPr>
          <w:rFonts w:eastAsia="Times New Roman"/>
          <w:lang w:eastAsia="cs-CZ"/>
        </w:rPr>
      </w:pPr>
      <w:bookmarkStart w:id="25" w:name="_Toc179958171"/>
      <w:r w:rsidRPr="002B03F4">
        <w:rPr>
          <w:rFonts w:eastAsia="Times New Roman"/>
          <w:lang w:eastAsia="cs-CZ"/>
        </w:rPr>
        <w:t>NABÍDKA</w:t>
      </w:r>
      <w:bookmarkEnd w:id="25"/>
    </w:p>
    <w:p w14:paraId="5E10D9DB" w14:textId="0FA763FD" w:rsidR="00EF2723" w:rsidRDefault="00EF2723" w:rsidP="000C6316">
      <w:pPr>
        <w:pStyle w:val="Nadpis2"/>
        <w:rPr>
          <w:rFonts w:eastAsia="Times New Roman"/>
          <w:lang w:eastAsia="cs-CZ"/>
        </w:rPr>
      </w:pPr>
      <w:bookmarkStart w:id="26" w:name="_Toc179958172"/>
      <w:r w:rsidRPr="0015038D">
        <w:rPr>
          <w:rFonts w:eastAsia="Times New Roman"/>
          <w:lang w:eastAsia="cs-CZ"/>
        </w:rPr>
        <w:t>Lhůta pro podání nabídek</w:t>
      </w:r>
      <w:bookmarkEnd w:id="26"/>
    </w:p>
    <w:p w14:paraId="47829740" w14:textId="5234856E" w:rsidR="00EF2723" w:rsidRDefault="00EF2723" w:rsidP="00920574">
      <w:pPr>
        <w:spacing w:before="240"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757E6D">
        <w:rPr>
          <w:rFonts w:ascii="Calibri" w:eastAsia="Times New Roman" w:hAnsi="Calibri" w:cs="Calibri"/>
          <w:b/>
          <w:sz w:val="24"/>
          <w:szCs w:val="24"/>
          <w:lang w:eastAsia="cs-CZ"/>
        </w:rPr>
        <w:t>Lhůta pro podání nabídek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je stanovena do </w:t>
      </w:r>
      <w:r w:rsidR="00F0394D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>14. 11</w:t>
      </w:r>
      <w:bookmarkStart w:id="27" w:name="_GoBack"/>
      <w:bookmarkEnd w:id="27"/>
      <w:r w:rsidR="00C76E0E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>.</w:t>
      </w:r>
      <w:r w:rsidR="00F72582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 xml:space="preserve"> </w:t>
      </w:r>
      <w:r w:rsidR="00911FF8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>202</w:t>
      </w:r>
      <w:r w:rsidR="00080B3C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>5</w:t>
      </w:r>
      <w:r w:rsidRPr="0015038D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 xml:space="preserve"> do </w:t>
      </w:r>
      <w:r w:rsidR="00911FF8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>10</w:t>
      </w:r>
      <w:r w:rsidR="00C76E0E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>:</w:t>
      </w:r>
      <w:r w:rsidR="00911FF8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>00</w:t>
      </w:r>
      <w:r w:rsidR="004F2F36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 xml:space="preserve"> </w:t>
      </w:r>
      <w:r w:rsidRPr="0015038D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>hodin</w:t>
      </w:r>
      <w:r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4C5DD5DC" w14:textId="292DADD5" w:rsidR="006E1152" w:rsidRDefault="00EF2723" w:rsidP="008D0F57">
      <w:pPr>
        <w:pStyle w:val="Bezmezer"/>
        <w:jc w:val="both"/>
        <w:rPr>
          <w:lang w:eastAsia="cs-CZ"/>
        </w:rPr>
      </w:pPr>
      <w:r>
        <w:rPr>
          <w:lang w:eastAsia="cs-CZ"/>
        </w:rPr>
        <w:t>Případná změna lhůty pro podání nabídek bude uveřejněna v detailu VZ v E-ZAK</w:t>
      </w:r>
      <w:r w:rsidR="00E21363">
        <w:rPr>
          <w:lang w:eastAsia="cs-CZ"/>
        </w:rPr>
        <w:t xml:space="preserve"> uvedeném ve</w:t>
      </w:r>
      <w:r w:rsidR="008D0F57">
        <w:rPr>
          <w:lang w:eastAsia="cs-CZ"/>
        </w:rPr>
        <w:t xml:space="preserve"> čl. 2.1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 w:rsidR="008D0F57">
        <w:rPr>
          <w:lang w:eastAsia="cs-CZ"/>
        </w:rPr>
        <w:t xml:space="preserve">. </w:t>
      </w:r>
      <w:r w:rsidR="006E1152">
        <w:rPr>
          <w:lang w:eastAsia="cs-CZ"/>
        </w:rPr>
        <w:t>Dodavatel je povinen sledovat případné změny na výše uvedeném odkazu.</w:t>
      </w:r>
    </w:p>
    <w:p w14:paraId="3A06FB96" w14:textId="1DE5FF3E" w:rsidR="00EF2723" w:rsidRPr="0015038D" w:rsidRDefault="00EF2723" w:rsidP="000C6316">
      <w:pPr>
        <w:pStyle w:val="Nadpis2"/>
        <w:rPr>
          <w:rFonts w:eastAsia="Times New Roman"/>
          <w:lang w:eastAsia="cs-CZ"/>
        </w:rPr>
      </w:pPr>
      <w:bookmarkStart w:id="28" w:name="_Toc179958173"/>
      <w:r w:rsidRPr="0015038D">
        <w:rPr>
          <w:rFonts w:eastAsia="Times New Roman"/>
          <w:lang w:eastAsia="cs-CZ"/>
        </w:rPr>
        <w:t>Forma a obsah nabídky</w:t>
      </w:r>
      <w:bookmarkEnd w:id="28"/>
    </w:p>
    <w:p w14:paraId="38EE8342" w14:textId="3ABD5BC2" w:rsidR="00EF2723" w:rsidRDefault="00EF2723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>Nabídky se podávají písemně</w:t>
      </w:r>
      <w:r w:rsidR="004D73E5">
        <w:rPr>
          <w:lang w:eastAsia="cs-CZ"/>
        </w:rPr>
        <w:t xml:space="preserve"> </w:t>
      </w:r>
      <w:r w:rsidR="004D73E5" w:rsidRPr="002A2D00">
        <w:rPr>
          <w:b/>
          <w:lang w:eastAsia="cs-CZ"/>
        </w:rPr>
        <w:t>v elektronické podobě</w:t>
      </w:r>
      <w:r w:rsidR="002A3255">
        <w:rPr>
          <w:b/>
          <w:lang w:eastAsia="cs-CZ"/>
        </w:rPr>
        <w:t xml:space="preserve">, </w:t>
      </w:r>
      <w:r w:rsidR="002A3255">
        <w:rPr>
          <w:lang w:eastAsia="cs-CZ"/>
        </w:rPr>
        <w:t>v českém jazyce</w:t>
      </w:r>
      <w:r>
        <w:rPr>
          <w:lang w:eastAsia="cs-CZ"/>
        </w:rPr>
        <w:t xml:space="preserve">. Nabídka musí být doručena nejpozději do konce lhůty pro podání nabídek. </w:t>
      </w:r>
    </w:p>
    <w:p w14:paraId="593F2A2F" w14:textId="400AD483" w:rsidR="00EF2723" w:rsidRDefault="00EF2723" w:rsidP="00E06C33">
      <w:pPr>
        <w:pStyle w:val="Bezmezer"/>
        <w:spacing w:before="120"/>
        <w:jc w:val="both"/>
        <w:rPr>
          <w:lang w:eastAsia="cs-CZ"/>
        </w:rPr>
      </w:pPr>
      <w:r w:rsidRPr="00211729">
        <w:rPr>
          <w:b/>
          <w:lang w:eastAsia="cs-CZ"/>
        </w:rPr>
        <w:t>Elektronická nabídka</w:t>
      </w:r>
      <w:r>
        <w:rPr>
          <w:lang w:eastAsia="cs-CZ"/>
        </w:rPr>
        <w:t xml:space="preserve"> se podává prostřednictvím systému E-ZAK v</w:t>
      </w:r>
      <w:r w:rsidR="00E40E29">
        <w:rPr>
          <w:lang w:eastAsia="cs-CZ"/>
        </w:rPr>
        <w:t> detailu VZ uvedeném ve čl. 2.1</w:t>
      </w:r>
      <w:r>
        <w:rPr>
          <w:lang w:eastAsia="cs-CZ"/>
        </w:rPr>
        <w:t xml:space="preserve">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>
        <w:rPr>
          <w:lang w:eastAsia="cs-CZ"/>
        </w:rPr>
        <w:t xml:space="preserve">. </w:t>
      </w:r>
      <w:r w:rsidRPr="003E5FFD">
        <w:rPr>
          <w:b/>
          <w:lang w:eastAsia="cs-CZ"/>
        </w:rPr>
        <w:t>Dodavatel musí být v zaregistrován</w:t>
      </w:r>
      <w:r w:rsidR="00CA3C6D" w:rsidRPr="003E5FFD">
        <w:rPr>
          <w:b/>
          <w:lang w:eastAsia="cs-CZ"/>
        </w:rPr>
        <w:t xml:space="preserve"> v Centrální databázi dodavatelů</w:t>
      </w:r>
      <w:r w:rsidR="00031362">
        <w:rPr>
          <w:b/>
          <w:lang w:eastAsia="cs-CZ"/>
        </w:rPr>
        <w:t>.</w:t>
      </w:r>
      <w:r w:rsidRPr="003E5FFD">
        <w:rPr>
          <w:b/>
          <w:lang w:eastAsia="cs-CZ"/>
        </w:rPr>
        <w:t xml:space="preserve"> </w:t>
      </w:r>
      <w:r w:rsidRPr="00E40E29">
        <w:rPr>
          <w:lang w:eastAsia="cs-CZ"/>
        </w:rPr>
        <w:t>Datová</w:t>
      </w:r>
      <w:r>
        <w:rPr>
          <w:lang w:eastAsia="cs-CZ"/>
        </w:rPr>
        <w:t xml:space="preserve"> zpráva s nabídkou nebo elektronická nabídka musí být opatřena platným elektronickým podpisem oprávněného zástupce dodavatele.</w:t>
      </w:r>
    </w:p>
    <w:p w14:paraId="4B6C4945" w14:textId="7753E384" w:rsidR="00AE2157" w:rsidRDefault="00AE2157" w:rsidP="00E06C33">
      <w:pPr>
        <w:pStyle w:val="Bezmezer"/>
        <w:spacing w:before="120"/>
        <w:jc w:val="both"/>
        <w:rPr>
          <w:lang w:eastAsia="cs-CZ"/>
        </w:rPr>
      </w:pPr>
      <w:r>
        <w:lastRenderedPageBreak/>
        <w:t>Soubory v elektronické podobě budou nepoškozené, čitelné a v obvyklých formátech přístupných uživatelům (např. pdf, doc, xls).</w:t>
      </w:r>
    </w:p>
    <w:p w14:paraId="04E7F6D7" w14:textId="03191939" w:rsidR="00B97F41" w:rsidRDefault="00B97F41" w:rsidP="00B97F41">
      <w:pPr>
        <w:pStyle w:val="Bezmezer"/>
        <w:spacing w:before="120"/>
        <w:jc w:val="both"/>
        <w:rPr>
          <w:color w:val="FF0000"/>
          <w:lang w:eastAsia="cs-CZ"/>
        </w:rPr>
      </w:pPr>
      <w:r w:rsidRPr="00E74094">
        <w:rPr>
          <w:lang w:eastAsia="cs-CZ"/>
        </w:rPr>
        <w:t xml:space="preserve">Je-li požadován vzorek podle čl. </w:t>
      </w:r>
      <w:r>
        <w:rPr>
          <w:lang w:eastAsia="cs-CZ"/>
        </w:rPr>
        <w:t>4.5 Výzvy</w:t>
      </w:r>
      <w:r w:rsidRPr="00E74094">
        <w:rPr>
          <w:lang w:eastAsia="cs-CZ"/>
        </w:rPr>
        <w:t xml:space="preserve">, dodavatel jej doručí v uzavřené krabici nebo obálce, která bude označena </w:t>
      </w:r>
      <w:r w:rsidRPr="00E74094">
        <w:rPr>
          <w:b/>
          <w:u w:val="single"/>
          <w:lang w:eastAsia="cs-CZ"/>
        </w:rPr>
        <w:t>názvem veřejné zakázky, slovem „VZOREK“ a identifikačními údaji a adresou dodavatele</w:t>
      </w:r>
      <w:r w:rsidRPr="00E74094">
        <w:rPr>
          <w:lang w:eastAsia="cs-CZ"/>
        </w:rPr>
        <w:t xml:space="preserve">. </w:t>
      </w:r>
    </w:p>
    <w:p w14:paraId="51F551D3" w14:textId="77777777" w:rsidR="00B97F41" w:rsidRDefault="00B97F41" w:rsidP="00B97F41">
      <w:pPr>
        <w:pStyle w:val="Bezmezer"/>
        <w:spacing w:before="240"/>
        <w:jc w:val="both"/>
      </w:pPr>
      <w:r w:rsidRPr="00C449CA">
        <w:rPr>
          <w:u w:val="single"/>
        </w:rPr>
        <w:t>Vzorek bude doručen do konce lhůty pro podání nabídek</w:t>
      </w:r>
      <w:r>
        <w:t xml:space="preserve"> na adresu centrálního zadavatele: </w:t>
      </w:r>
    </w:p>
    <w:p w14:paraId="4B50DC93" w14:textId="77777777" w:rsidR="00B97F41" w:rsidRPr="0025267F" w:rsidRDefault="00B97F41" w:rsidP="00B97F41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>Klatovská nemocnice</w:t>
      </w:r>
      <w:r w:rsidRPr="0025267F">
        <w:rPr>
          <w:rFonts w:cstheme="minorHAnsi"/>
          <w:b/>
        </w:rPr>
        <w:t xml:space="preserve">, a.s., </w:t>
      </w:r>
      <w:r>
        <w:rPr>
          <w:rFonts w:cstheme="minorHAnsi"/>
          <w:b/>
        </w:rPr>
        <w:t>Centrum sdílených služeb NPK, odd. Nákup</w:t>
      </w:r>
    </w:p>
    <w:p w14:paraId="782AD3D5" w14:textId="77777777" w:rsidR="00B97F41" w:rsidRDefault="00B97F41" w:rsidP="00B97F41">
      <w:pPr>
        <w:pStyle w:val="Bezmezer"/>
        <w:jc w:val="both"/>
        <w:rPr>
          <w:rFonts w:cstheme="minorHAnsi"/>
        </w:rPr>
      </w:pPr>
      <w:r w:rsidRPr="0025267F">
        <w:rPr>
          <w:rFonts w:cstheme="minorHAnsi"/>
        </w:rPr>
        <w:t>Vejprnická 663/56, 318 00 Plzeň, 2. patro.</w:t>
      </w:r>
    </w:p>
    <w:p w14:paraId="1E0D89D1" w14:textId="581864C7" w:rsidR="00B97F41" w:rsidRPr="0025267F" w:rsidRDefault="00B97F41" w:rsidP="00B97F41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Kontaktní osoba: </w:t>
      </w:r>
      <w:r w:rsidR="00DD08CD">
        <w:rPr>
          <w:rFonts w:cstheme="minorHAnsi"/>
        </w:rPr>
        <w:t>František Bubrle</w:t>
      </w:r>
      <w:r w:rsidR="00B32894">
        <w:rPr>
          <w:rFonts w:cstheme="minorHAnsi"/>
        </w:rPr>
        <w:t xml:space="preserve">, tel: </w:t>
      </w:r>
      <w:r w:rsidR="00B32894" w:rsidRPr="00B32894">
        <w:rPr>
          <w:rFonts w:cstheme="minorHAnsi"/>
        </w:rPr>
        <w:t>+420</w:t>
      </w:r>
      <w:r w:rsidR="00DD08CD">
        <w:rPr>
          <w:rFonts w:cstheme="minorHAnsi"/>
        </w:rPr>
        <w:t> 734 579 274</w:t>
      </w:r>
    </w:p>
    <w:p w14:paraId="086CDF16" w14:textId="77777777" w:rsidR="00B97F41" w:rsidRPr="0025267F" w:rsidRDefault="00B97F41" w:rsidP="00B97F41">
      <w:pPr>
        <w:widowControl w:val="0"/>
        <w:tabs>
          <w:tab w:val="left" w:pos="0"/>
        </w:tabs>
        <w:suppressAutoHyphens/>
        <w:autoSpaceDE w:val="0"/>
        <w:spacing w:after="0" w:line="240" w:lineRule="auto"/>
        <w:ind w:right="34"/>
        <w:jc w:val="both"/>
        <w:rPr>
          <w:rFonts w:eastAsia="Times New Roman" w:cstheme="minorHAnsi"/>
          <w:color w:val="010000"/>
          <w:lang w:eastAsia="ar-SA"/>
        </w:rPr>
      </w:pPr>
      <w:r w:rsidRPr="0025267F">
        <w:rPr>
          <w:rFonts w:eastAsia="Times New Roman" w:cstheme="minorHAnsi"/>
          <w:color w:val="010000"/>
          <w:lang w:eastAsia="ar-SA"/>
        </w:rPr>
        <w:t>Provozní doba pro osobní dodání: pondělí – pátek: 8:00  - 11:00 a 12:00 – 14:00 hodin</w:t>
      </w:r>
    </w:p>
    <w:p w14:paraId="53B6FF65" w14:textId="77777777" w:rsidR="00B97F41" w:rsidRDefault="00B97F41" w:rsidP="00B97F41">
      <w:pPr>
        <w:pStyle w:val="Bezmezer"/>
        <w:jc w:val="both"/>
      </w:pPr>
    </w:p>
    <w:p w14:paraId="2E70AC92" w14:textId="19A8E9E8" w:rsidR="00B97F41" w:rsidRDefault="00B97F41" w:rsidP="00B97F41">
      <w:pPr>
        <w:pStyle w:val="Bezmezer"/>
        <w:jc w:val="both"/>
      </w:pPr>
      <w:r w:rsidRPr="00002D63">
        <w:rPr>
          <w:b/>
        </w:rPr>
        <w:t>Veškeré vzorky, doklady o shodě a technické listy budou doručeny ve lhůtě pro podání nabídek</w:t>
      </w:r>
      <w:r w:rsidRPr="0025267F">
        <w:t xml:space="preserve"> v souladu s článkem </w:t>
      </w:r>
      <w:r>
        <w:t>4. 5.</w:t>
      </w:r>
      <w:r w:rsidRPr="0025267F">
        <w:t xml:space="preserve"> a</w:t>
      </w:r>
      <w:r>
        <w:t xml:space="preserve"> 7</w:t>
      </w:r>
      <w:r w:rsidRPr="0025267F">
        <w:t xml:space="preserve">. 1. </w:t>
      </w:r>
      <w:r>
        <w:t>Výzvy</w:t>
      </w:r>
      <w:r w:rsidRPr="0025267F">
        <w:t>.</w:t>
      </w:r>
    </w:p>
    <w:p w14:paraId="33991F94" w14:textId="73BF0B15" w:rsidR="00B97F41" w:rsidRPr="0025267F" w:rsidRDefault="00B97F41" w:rsidP="00B97F41">
      <w:pPr>
        <w:pStyle w:val="Bezmezer"/>
        <w:jc w:val="both"/>
        <w:rPr>
          <w:lang w:eastAsia="cs-CZ"/>
        </w:rPr>
      </w:pPr>
      <w:r>
        <w:rPr>
          <w:lang w:eastAsia="cs-CZ"/>
        </w:rPr>
        <w:t>Centrální z</w:t>
      </w:r>
      <w:r w:rsidRPr="0025267F">
        <w:rPr>
          <w:lang w:eastAsia="cs-CZ"/>
        </w:rPr>
        <w:t>adavatel (ani pověřená osoba) nenese odpovědnost za nedoručení zásilky včas.</w:t>
      </w:r>
    </w:p>
    <w:p w14:paraId="21769485" w14:textId="77777777" w:rsidR="00EF2723" w:rsidRDefault="00EF2723" w:rsidP="00E06C33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>Centrální zadavatel doporučuje následující řazení nabídky:</w:t>
      </w:r>
    </w:p>
    <w:p w14:paraId="5D2C7C32" w14:textId="794352EF" w:rsidR="00EF2723" w:rsidRDefault="00DD08CD" w:rsidP="00DD08CD">
      <w:pPr>
        <w:pStyle w:val="Bezmezer"/>
        <w:numPr>
          <w:ilvl w:val="0"/>
          <w:numId w:val="6"/>
        </w:numPr>
        <w:jc w:val="both"/>
        <w:rPr>
          <w:lang w:eastAsia="cs-CZ"/>
        </w:rPr>
      </w:pPr>
      <w:r w:rsidRPr="00DD08CD">
        <w:rPr>
          <w:b/>
          <w:lang w:eastAsia="cs-CZ"/>
        </w:rPr>
        <w:t>Technická specifikace</w:t>
      </w:r>
      <w:r>
        <w:rPr>
          <w:b/>
          <w:lang w:eastAsia="cs-CZ"/>
        </w:rPr>
        <w:t xml:space="preserve"> včetně ocenění</w:t>
      </w:r>
      <w:r w:rsidRPr="00DD08CD">
        <w:rPr>
          <w:b/>
          <w:lang w:eastAsia="cs-CZ"/>
        </w:rPr>
        <w:t xml:space="preserve"> </w:t>
      </w:r>
      <w:r w:rsidRPr="00DD08CD">
        <w:rPr>
          <w:lang w:eastAsia="cs-CZ"/>
        </w:rPr>
        <w:t>– vyplněná specifikace</w:t>
      </w:r>
      <w:r>
        <w:rPr>
          <w:lang w:eastAsia="cs-CZ"/>
        </w:rPr>
        <w:t xml:space="preserve">, </w:t>
      </w:r>
      <w:r w:rsidR="00EF2723">
        <w:rPr>
          <w:lang w:eastAsia="cs-CZ"/>
        </w:rPr>
        <w:t>identifikační ú</w:t>
      </w:r>
      <w:r w:rsidR="00DD4717">
        <w:rPr>
          <w:lang w:eastAsia="cs-CZ"/>
        </w:rPr>
        <w:t>daje, nabídková cena</w:t>
      </w:r>
      <w:r w:rsidR="008D0F57">
        <w:rPr>
          <w:lang w:eastAsia="cs-CZ"/>
        </w:rPr>
        <w:t>, prohlášení</w:t>
      </w:r>
      <w:r w:rsidR="00471AF9">
        <w:rPr>
          <w:lang w:eastAsia="cs-CZ"/>
        </w:rPr>
        <w:t>,</w:t>
      </w:r>
    </w:p>
    <w:p w14:paraId="7BD14FCE" w14:textId="52D71288" w:rsidR="00F72582" w:rsidRDefault="00F72582" w:rsidP="00EF2723">
      <w:pPr>
        <w:pStyle w:val="Bezmezer"/>
        <w:numPr>
          <w:ilvl w:val="0"/>
          <w:numId w:val="6"/>
        </w:numPr>
        <w:jc w:val="both"/>
        <w:rPr>
          <w:lang w:eastAsia="cs-CZ"/>
        </w:rPr>
      </w:pPr>
      <w:r>
        <w:rPr>
          <w:b/>
          <w:lang w:eastAsia="cs-CZ"/>
        </w:rPr>
        <w:t xml:space="preserve">Návrh Rámcové kupní smlouvy </w:t>
      </w:r>
      <w:r>
        <w:rPr>
          <w:lang w:eastAsia="cs-CZ"/>
        </w:rPr>
        <w:t>– vyplněné požadované údaje</w:t>
      </w:r>
    </w:p>
    <w:p w14:paraId="6A2A0598" w14:textId="178B699B" w:rsidR="00CE52CB" w:rsidRDefault="00471AF9" w:rsidP="00CE52CB">
      <w:pPr>
        <w:pStyle w:val="Bezmezer"/>
        <w:numPr>
          <w:ilvl w:val="0"/>
          <w:numId w:val="6"/>
        </w:numPr>
        <w:jc w:val="both"/>
        <w:rPr>
          <w:lang w:eastAsia="cs-CZ"/>
        </w:rPr>
      </w:pPr>
      <w:r>
        <w:rPr>
          <w:b/>
          <w:lang w:eastAsia="cs-CZ"/>
        </w:rPr>
        <w:t>Katalog</w:t>
      </w:r>
    </w:p>
    <w:p w14:paraId="2DD7C14B" w14:textId="46842E9A" w:rsidR="00EF2723" w:rsidRPr="002B03F4" w:rsidRDefault="00891932" w:rsidP="000C6316">
      <w:pPr>
        <w:pStyle w:val="Nadpis1"/>
        <w:rPr>
          <w:rFonts w:eastAsia="Times New Roman"/>
          <w:lang w:eastAsia="cs-CZ"/>
        </w:rPr>
      </w:pPr>
      <w:bookmarkStart w:id="29" w:name="_Toc179958174"/>
      <w:r>
        <w:rPr>
          <w:rFonts w:eastAsia="Times New Roman"/>
          <w:lang w:eastAsia="cs-CZ"/>
        </w:rPr>
        <w:t>ZADÁ</w:t>
      </w:r>
      <w:r w:rsidR="00A340E6">
        <w:rPr>
          <w:rFonts w:eastAsia="Times New Roman"/>
          <w:lang w:eastAsia="cs-CZ"/>
        </w:rPr>
        <w:t>NÍ VEŘEJNÉ ZAKÁZKY</w:t>
      </w:r>
      <w:bookmarkEnd w:id="29"/>
    </w:p>
    <w:p w14:paraId="491F3403" w14:textId="6780CFE6" w:rsidR="00EF2723" w:rsidRPr="006E4A27" w:rsidRDefault="00EF2723" w:rsidP="000C6316">
      <w:pPr>
        <w:pStyle w:val="Nadpis2"/>
        <w:rPr>
          <w:rFonts w:eastAsia="Times New Roman"/>
          <w:lang w:eastAsia="cs-CZ"/>
        </w:rPr>
      </w:pPr>
      <w:bookmarkStart w:id="30" w:name="_Toc179958175"/>
      <w:r w:rsidRPr="006E4A27">
        <w:rPr>
          <w:rFonts w:eastAsia="Times New Roman"/>
          <w:lang w:eastAsia="cs-CZ"/>
        </w:rPr>
        <w:t>Vysvětlení zadávací dokumentace</w:t>
      </w:r>
      <w:bookmarkEnd w:id="30"/>
    </w:p>
    <w:p w14:paraId="6CED88FD" w14:textId="3C077C84" w:rsidR="00D44383" w:rsidRDefault="00EF2723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Dodavatel může podat písemnou žádost o vysvětlení zadávací dokumentace, kterou musí doručit nejméně </w:t>
      </w:r>
      <w:r w:rsidR="00DD08CD">
        <w:rPr>
          <w:lang w:eastAsia="cs-CZ"/>
        </w:rPr>
        <w:t>3</w:t>
      </w:r>
      <w:r w:rsidR="00C16797">
        <w:rPr>
          <w:lang w:eastAsia="cs-CZ"/>
        </w:rPr>
        <w:t xml:space="preserve"> </w:t>
      </w:r>
      <w:r>
        <w:rPr>
          <w:lang w:eastAsia="cs-CZ"/>
        </w:rPr>
        <w:t>pracovní</w:t>
      </w:r>
      <w:r w:rsidR="002A2D00">
        <w:rPr>
          <w:lang w:eastAsia="cs-CZ"/>
        </w:rPr>
        <w:t xml:space="preserve"> </w:t>
      </w:r>
      <w:r>
        <w:rPr>
          <w:lang w:eastAsia="cs-CZ"/>
        </w:rPr>
        <w:t>dn</w:t>
      </w:r>
      <w:r w:rsidR="00A340E6">
        <w:rPr>
          <w:lang w:eastAsia="cs-CZ"/>
        </w:rPr>
        <w:t>y</w:t>
      </w:r>
      <w:r>
        <w:rPr>
          <w:lang w:eastAsia="cs-CZ"/>
        </w:rPr>
        <w:t xml:space="preserve"> před uplynutím lhůty pro podání n</w:t>
      </w:r>
      <w:r w:rsidR="00C16797">
        <w:rPr>
          <w:lang w:eastAsia="cs-CZ"/>
        </w:rPr>
        <w:t xml:space="preserve">abídek. Centrální zadavatel do 2 </w:t>
      </w:r>
      <w:r>
        <w:rPr>
          <w:lang w:eastAsia="cs-CZ"/>
        </w:rPr>
        <w:t>pracovních dnů uveřejní odpověď v</w:t>
      </w:r>
      <w:r w:rsidR="008D0F57">
        <w:rPr>
          <w:lang w:eastAsia="cs-CZ"/>
        </w:rPr>
        <w:t> detailu VZ v E-ZAK dle čl. 2.1</w:t>
      </w:r>
      <w:r>
        <w:rPr>
          <w:lang w:eastAsia="cs-CZ"/>
        </w:rPr>
        <w:t xml:space="preserve">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>
        <w:rPr>
          <w:lang w:eastAsia="cs-CZ"/>
        </w:rPr>
        <w:t xml:space="preserve"> v souboru </w:t>
      </w:r>
      <w:r w:rsidR="00E879CC">
        <w:rPr>
          <w:lang w:eastAsia="cs-CZ"/>
        </w:rPr>
        <w:t>„</w:t>
      </w:r>
      <w:r>
        <w:rPr>
          <w:lang w:eastAsia="cs-CZ"/>
        </w:rPr>
        <w:t>Vysvětlení</w:t>
      </w:r>
      <w:r w:rsidR="00E879CC">
        <w:rPr>
          <w:lang w:eastAsia="cs-CZ"/>
        </w:rPr>
        <w:t>, doplnění, změny</w:t>
      </w:r>
      <w:r>
        <w:rPr>
          <w:lang w:eastAsia="cs-CZ"/>
        </w:rPr>
        <w:t xml:space="preserve"> zadávací dokumentace</w:t>
      </w:r>
      <w:r w:rsidR="00E879CC">
        <w:rPr>
          <w:lang w:eastAsia="cs-CZ"/>
        </w:rPr>
        <w:t>“</w:t>
      </w:r>
      <w:r>
        <w:rPr>
          <w:lang w:eastAsia="cs-CZ"/>
        </w:rPr>
        <w:t xml:space="preserve">. Vysvětlení bude obsahovat dotaz bez identifikace dodavatele a odpověď. Centrální zadavatel může uveřejnit vysvětlení i bez předchozí žádosti nebo odpovědět na pozdě doručený dotaz. </w:t>
      </w:r>
    </w:p>
    <w:p w14:paraId="4D1B21CB" w14:textId="1B6EFDE8" w:rsidR="00EF2723" w:rsidRDefault="00EF2723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>Pokud budou změněny zadávací podmínky, centrální zadavatel přiměřeně prodlouží lhůtu pro podání nabídek.</w:t>
      </w:r>
      <w:r w:rsidR="00D44383">
        <w:rPr>
          <w:lang w:eastAsia="cs-CZ"/>
        </w:rPr>
        <w:t xml:space="preserve"> V případě podstatné změny, která může rozšířit okruh možných účastníků zadávacího řízení, bude lhůta pro</w:t>
      </w:r>
      <w:r w:rsidR="00C16797">
        <w:rPr>
          <w:lang w:eastAsia="cs-CZ"/>
        </w:rPr>
        <w:t>dloužena o celou původní délku.</w:t>
      </w:r>
    </w:p>
    <w:p w14:paraId="5A2C9A5A" w14:textId="1F12FCC5" w:rsidR="00EF2723" w:rsidRPr="00780EC7" w:rsidRDefault="00EF2723" w:rsidP="000C6316">
      <w:pPr>
        <w:pStyle w:val="Nadpis2"/>
        <w:rPr>
          <w:rFonts w:eastAsia="Times New Roman"/>
          <w:lang w:eastAsia="cs-CZ"/>
        </w:rPr>
      </w:pPr>
      <w:bookmarkStart w:id="31" w:name="_Toc179958176"/>
      <w:r w:rsidRPr="00780EC7">
        <w:rPr>
          <w:rFonts w:eastAsia="Times New Roman"/>
          <w:lang w:eastAsia="cs-CZ"/>
        </w:rPr>
        <w:t>Otevírání, kontrola a hodnocení nabídek</w:t>
      </w:r>
      <w:bookmarkEnd w:id="31"/>
    </w:p>
    <w:p w14:paraId="7F5E0838" w14:textId="05C6457A" w:rsidR="00EF2723" w:rsidRDefault="00EF2723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Nabídky otevřou pověřené osoby centrálního zadavatele, které poté s dalšími oprávněnými osobami zkontrolují nabídky a provedou hodnocení. Jednání, při kterých se otevírají, kontrolují a hodnotí nabídky, je neveřejné. Kontrolující osoby doporučí centrálnímu zadavateli vybraného dodavatele, se kterým bude uzavřena </w:t>
      </w:r>
      <w:r w:rsidR="00DC490C">
        <w:rPr>
          <w:lang w:eastAsia="cs-CZ"/>
        </w:rPr>
        <w:t>S</w:t>
      </w:r>
      <w:r w:rsidR="00225D91" w:rsidRPr="00DC490C">
        <w:rPr>
          <w:lang w:eastAsia="cs-CZ"/>
        </w:rPr>
        <w:t>mlouv</w:t>
      </w:r>
      <w:r w:rsidRPr="00DC490C">
        <w:rPr>
          <w:lang w:eastAsia="cs-CZ"/>
        </w:rPr>
        <w:t>a</w:t>
      </w:r>
      <w:r>
        <w:rPr>
          <w:lang w:eastAsia="cs-CZ"/>
        </w:rPr>
        <w:t>.</w:t>
      </w:r>
    </w:p>
    <w:p w14:paraId="556E4E32" w14:textId="1EC0619E" w:rsidR="00EF2723" w:rsidRPr="00780EC7" w:rsidRDefault="00EF2723" w:rsidP="000C6316">
      <w:pPr>
        <w:pStyle w:val="Nadpis2"/>
        <w:rPr>
          <w:rFonts w:eastAsia="Times New Roman"/>
          <w:lang w:eastAsia="cs-CZ"/>
        </w:rPr>
      </w:pPr>
      <w:bookmarkStart w:id="32" w:name="_Toc179958177"/>
      <w:r w:rsidRPr="00780EC7">
        <w:rPr>
          <w:rFonts w:eastAsia="Times New Roman"/>
          <w:lang w:eastAsia="cs-CZ"/>
        </w:rPr>
        <w:t>Rozhodnutí</w:t>
      </w:r>
      <w:r>
        <w:rPr>
          <w:rFonts w:eastAsia="Times New Roman"/>
          <w:lang w:eastAsia="cs-CZ"/>
        </w:rPr>
        <w:t xml:space="preserve"> o výběru</w:t>
      </w:r>
      <w:bookmarkEnd w:id="32"/>
    </w:p>
    <w:p w14:paraId="03BAA5C4" w14:textId="3426BD91" w:rsidR="00EF2723" w:rsidRDefault="00EF2723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Centrální zadavatel rozhodne o výběru dodavatele, jehož nabídka byla vyhodnocena jako nejvýhodnější. Rozhodnutí o výběru bude </w:t>
      </w:r>
      <w:r w:rsidR="00181258">
        <w:rPr>
          <w:lang w:eastAsia="cs-CZ"/>
        </w:rPr>
        <w:t>odesláno</w:t>
      </w:r>
      <w:r w:rsidR="00A340E6">
        <w:rPr>
          <w:lang w:eastAsia="cs-CZ"/>
        </w:rPr>
        <w:t xml:space="preserve"> všem </w:t>
      </w:r>
      <w:r w:rsidR="00911FF8" w:rsidRPr="00911FF8">
        <w:rPr>
          <w:lang w:eastAsia="cs-CZ"/>
        </w:rPr>
        <w:t>dodavatelům zařazeným v dané kategorii DNS, kteří podali nabídku</w:t>
      </w:r>
      <w:r w:rsidR="00A340E6">
        <w:rPr>
          <w:lang w:eastAsia="cs-CZ"/>
        </w:rPr>
        <w:t>,</w:t>
      </w:r>
      <w:r w:rsidR="00181258">
        <w:rPr>
          <w:lang w:eastAsia="cs-CZ"/>
        </w:rPr>
        <w:t xml:space="preserve"> a </w:t>
      </w:r>
      <w:r>
        <w:rPr>
          <w:lang w:eastAsia="cs-CZ"/>
        </w:rPr>
        <w:t>uveřejněno v detailu VZ v E-ZAK.</w:t>
      </w:r>
    </w:p>
    <w:p w14:paraId="69051288" w14:textId="0492737D" w:rsidR="00DD4717" w:rsidRPr="008A22CB" w:rsidRDefault="00DD4717" w:rsidP="000C6316">
      <w:pPr>
        <w:pStyle w:val="Nadpis2"/>
        <w:rPr>
          <w:rFonts w:eastAsia="Times New Roman"/>
          <w:lang w:eastAsia="cs-CZ"/>
        </w:rPr>
      </w:pPr>
      <w:bookmarkStart w:id="33" w:name="_Toc179958178"/>
      <w:r w:rsidRPr="008A22CB">
        <w:rPr>
          <w:rFonts w:eastAsia="Times New Roman"/>
          <w:lang w:eastAsia="cs-CZ"/>
        </w:rPr>
        <w:t>Rozhodnutí o vy</w:t>
      </w:r>
      <w:r w:rsidR="00165F4D">
        <w:rPr>
          <w:rFonts w:eastAsia="Times New Roman"/>
          <w:lang w:eastAsia="cs-CZ"/>
        </w:rPr>
        <w:t>řazení nabídky</w:t>
      </w:r>
      <w:bookmarkEnd w:id="33"/>
    </w:p>
    <w:p w14:paraId="4BE7ED80" w14:textId="2378A713" w:rsidR="00181258" w:rsidRDefault="00181258" w:rsidP="00181258">
      <w:pPr>
        <w:pStyle w:val="Bezmezer"/>
        <w:jc w:val="both"/>
        <w:rPr>
          <w:lang w:eastAsia="cs-CZ"/>
        </w:rPr>
      </w:pPr>
      <w:r>
        <w:rPr>
          <w:lang w:eastAsia="cs-CZ"/>
        </w:rPr>
        <w:t>Pokud dojde k v</w:t>
      </w:r>
      <w:r w:rsidR="00165F4D">
        <w:rPr>
          <w:lang w:eastAsia="cs-CZ"/>
        </w:rPr>
        <w:t>yřazení</w:t>
      </w:r>
      <w:r>
        <w:rPr>
          <w:lang w:eastAsia="cs-CZ"/>
        </w:rPr>
        <w:t xml:space="preserve"> </w:t>
      </w:r>
      <w:r w:rsidR="00A340E6">
        <w:rPr>
          <w:lang w:eastAsia="cs-CZ"/>
        </w:rPr>
        <w:t xml:space="preserve">nabídky </w:t>
      </w:r>
      <w:r>
        <w:rPr>
          <w:lang w:eastAsia="cs-CZ"/>
        </w:rPr>
        <w:t>dodavatele, centrální zadavatel</w:t>
      </w:r>
      <w:r w:rsidR="000D0394">
        <w:rPr>
          <w:lang w:eastAsia="cs-CZ"/>
        </w:rPr>
        <w:t xml:space="preserve"> bezodkladně odešle oznámení dodavateli</w:t>
      </w:r>
      <w:r w:rsidR="00216482">
        <w:rPr>
          <w:lang w:eastAsia="cs-CZ"/>
        </w:rPr>
        <w:t>, který podal tuto nabídku</w:t>
      </w:r>
      <w:r w:rsidR="000D0394">
        <w:rPr>
          <w:lang w:eastAsia="cs-CZ"/>
        </w:rPr>
        <w:t>.</w:t>
      </w:r>
    </w:p>
    <w:p w14:paraId="37399E07" w14:textId="5073C14B" w:rsidR="007C3822" w:rsidRPr="007C3822" w:rsidRDefault="00CE3349" w:rsidP="007C3822">
      <w:pPr>
        <w:pStyle w:val="Nadpis2"/>
        <w:rPr>
          <w:rFonts w:eastAsia="Times New Roman"/>
          <w:lang w:eastAsia="cs-CZ"/>
        </w:rPr>
      </w:pPr>
      <w:bookmarkStart w:id="34" w:name="_Toc179958179"/>
      <w:r>
        <w:rPr>
          <w:rFonts w:eastAsia="Times New Roman"/>
          <w:lang w:eastAsia="cs-CZ"/>
        </w:rPr>
        <w:t>Z</w:t>
      </w:r>
      <w:r w:rsidR="008A22CB" w:rsidRPr="008A22CB">
        <w:rPr>
          <w:rFonts w:eastAsia="Times New Roman"/>
          <w:lang w:eastAsia="cs-CZ"/>
        </w:rPr>
        <w:t>rušení</w:t>
      </w:r>
      <w:r>
        <w:rPr>
          <w:rFonts w:eastAsia="Times New Roman"/>
          <w:lang w:eastAsia="cs-CZ"/>
        </w:rPr>
        <w:t xml:space="preserve"> Výzvy k podání nabídek</w:t>
      </w:r>
      <w:bookmarkEnd w:id="34"/>
      <w:r w:rsidR="008A22CB" w:rsidRPr="008A22CB">
        <w:rPr>
          <w:rFonts w:eastAsia="Times New Roman"/>
          <w:lang w:eastAsia="cs-CZ"/>
        </w:rPr>
        <w:t xml:space="preserve"> </w:t>
      </w:r>
    </w:p>
    <w:p w14:paraId="4F47DC34" w14:textId="70945EF1" w:rsidR="000D0394" w:rsidRDefault="000D0394" w:rsidP="00216482">
      <w:pPr>
        <w:pStyle w:val="Bezmezer"/>
        <w:spacing w:before="120" w:after="120"/>
        <w:jc w:val="both"/>
        <w:rPr>
          <w:lang w:eastAsia="cs-CZ"/>
        </w:rPr>
      </w:pPr>
      <w:r>
        <w:rPr>
          <w:lang w:eastAsia="cs-CZ"/>
        </w:rPr>
        <w:t>Centrální zada</w:t>
      </w:r>
      <w:r w:rsidR="009E6708">
        <w:rPr>
          <w:lang w:eastAsia="cs-CZ"/>
        </w:rPr>
        <w:t xml:space="preserve">vatel je oprávněn zrušit </w:t>
      </w:r>
      <w:r w:rsidR="00CE3349">
        <w:rPr>
          <w:lang w:eastAsia="cs-CZ"/>
        </w:rPr>
        <w:t>Výzvu k podání nabídky</w:t>
      </w:r>
      <w:r w:rsidR="009E6708">
        <w:rPr>
          <w:lang w:eastAsia="cs-CZ"/>
        </w:rPr>
        <w:t xml:space="preserve"> kdykoliv do okamžiku uzavření Smlouvy s vybraným dodavatelem</w:t>
      </w:r>
      <w:r w:rsidR="00CE4B11">
        <w:rPr>
          <w:lang w:eastAsia="cs-CZ"/>
        </w:rPr>
        <w:t>. Oznámení o zrušení Výzvy</w:t>
      </w:r>
      <w:r>
        <w:rPr>
          <w:lang w:eastAsia="cs-CZ"/>
        </w:rPr>
        <w:t xml:space="preserve"> bude do 3 pracovních dnů od rozhodnutí odesláno </w:t>
      </w:r>
      <w:r w:rsidR="009E6708">
        <w:rPr>
          <w:lang w:eastAsia="cs-CZ"/>
        </w:rPr>
        <w:t>dodavatelům zařazeným v </w:t>
      </w:r>
      <w:r w:rsidR="00911FF8" w:rsidRPr="00911FF8">
        <w:rPr>
          <w:lang w:eastAsia="cs-CZ"/>
        </w:rPr>
        <w:t xml:space="preserve"> dané kategorii DNS</w:t>
      </w:r>
      <w:r>
        <w:rPr>
          <w:lang w:eastAsia="cs-CZ"/>
        </w:rPr>
        <w:t>.</w:t>
      </w:r>
    </w:p>
    <w:p w14:paraId="66AE3714" w14:textId="070B41E2" w:rsidR="00216482" w:rsidRDefault="00216482" w:rsidP="00216482">
      <w:pPr>
        <w:pStyle w:val="Bezmezer"/>
        <w:spacing w:before="120" w:after="120"/>
        <w:jc w:val="both"/>
        <w:rPr>
          <w:lang w:eastAsia="cs-CZ"/>
        </w:rPr>
      </w:pPr>
      <w:r>
        <w:rPr>
          <w:lang w:eastAsia="cs-CZ"/>
        </w:rPr>
        <w:lastRenderedPageBreak/>
        <w:t xml:space="preserve">Pokud po uplynutí lhůty pro podání nabídek nebude podána žádná nabídka, Výzva k podání nabídky se ruší automaticky, bez </w:t>
      </w:r>
      <w:r w:rsidR="00A01C5B">
        <w:rPr>
          <w:lang w:eastAsia="cs-CZ"/>
        </w:rPr>
        <w:t xml:space="preserve">povinnosti </w:t>
      </w:r>
      <w:r>
        <w:rPr>
          <w:lang w:eastAsia="cs-CZ"/>
        </w:rPr>
        <w:t xml:space="preserve">centrálního zadavatele vyhotovit rozhodnutí </w:t>
      </w:r>
      <w:r w:rsidR="002367E3">
        <w:rPr>
          <w:lang w:eastAsia="cs-CZ"/>
        </w:rPr>
        <w:t xml:space="preserve">o zrušení této Výzvy </w:t>
      </w:r>
      <w:r w:rsidR="00E608FC">
        <w:rPr>
          <w:lang w:eastAsia="cs-CZ"/>
        </w:rPr>
        <w:t xml:space="preserve">a oznamovat tuto skutečnost dodavatelům </w:t>
      </w:r>
      <w:r w:rsidR="00911FF8" w:rsidRPr="00911FF8">
        <w:rPr>
          <w:lang w:eastAsia="cs-CZ"/>
        </w:rPr>
        <w:t>zařazeným v dané kategorii DNS</w:t>
      </w:r>
      <w:r>
        <w:rPr>
          <w:lang w:eastAsia="cs-CZ"/>
        </w:rPr>
        <w:t>.</w:t>
      </w:r>
    </w:p>
    <w:p w14:paraId="474239ED" w14:textId="1BDEB292" w:rsidR="00EF2723" w:rsidRPr="006C79E6" w:rsidRDefault="00216482" w:rsidP="000C6316">
      <w:pPr>
        <w:pStyle w:val="Nadpis2"/>
        <w:rPr>
          <w:rFonts w:eastAsia="Times New Roman"/>
          <w:lang w:eastAsia="cs-CZ"/>
        </w:rPr>
      </w:pPr>
      <w:bookmarkStart w:id="35" w:name="_Toc179958180"/>
      <w:r>
        <w:rPr>
          <w:rFonts w:eastAsia="Times New Roman"/>
          <w:lang w:eastAsia="cs-CZ"/>
        </w:rPr>
        <w:t>U</w:t>
      </w:r>
      <w:r w:rsidR="00EF2723" w:rsidRPr="006C79E6">
        <w:rPr>
          <w:rFonts w:eastAsia="Times New Roman"/>
          <w:lang w:eastAsia="cs-CZ"/>
        </w:rPr>
        <w:t>zavření smlouvy</w:t>
      </w:r>
      <w:bookmarkEnd w:id="35"/>
    </w:p>
    <w:p w14:paraId="23F6E1E6" w14:textId="504A8FBF" w:rsidR="00AF32AC" w:rsidRPr="00471AF9" w:rsidRDefault="00EF2723" w:rsidP="00471AF9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Vybraný dodavatel bude </w:t>
      </w:r>
      <w:r w:rsidR="00C16797">
        <w:rPr>
          <w:lang w:eastAsia="cs-CZ"/>
        </w:rPr>
        <w:t xml:space="preserve">po rozhodnutí o výběru vyzván k </w:t>
      </w:r>
      <w:r w:rsidR="00E608FC">
        <w:rPr>
          <w:lang w:eastAsia="cs-CZ"/>
        </w:rPr>
        <w:t>uzavření S</w:t>
      </w:r>
      <w:r w:rsidR="00225D91">
        <w:rPr>
          <w:lang w:eastAsia="cs-CZ"/>
        </w:rPr>
        <w:t>mlouv</w:t>
      </w:r>
      <w:r>
        <w:rPr>
          <w:lang w:eastAsia="cs-CZ"/>
        </w:rPr>
        <w:t xml:space="preserve">y. </w:t>
      </w:r>
    </w:p>
    <w:p w14:paraId="7BA8467E" w14:textId="505B0CF3" w:rsidR="00EF2723" w:rsidRPr="002B03F4" w:rsidRDefault="00EF2723" w:rsidP="000C6316">
      <w:pPr>
        <w:pStyle w:val="Nadpis1"/>
        <w:rPr>
          <w:rFonts w:eastAsia="Times New Roman"/>
          <w:lang w:eastAsia="cs-CZ"/>
        </w:rPr>
      </w:pPr>
      <w:bookmarkStart w:id="36" w:name="_Toc179958181"/>
      <w:r w:rsidRPr="002B03F4">
        <w:rPr>
          <w:rFonts w:eastAsia="Times New Roman"/>
          <w:lang w:eastAsia="cs-CZ"/>
        </w:rPr>
        <w:t>PŘÍLOHY</w:t>
      </w:r>
      <w:bookmarkEnd w:id="36"/>
    </w:p>
    <w:p w14:paraId="4C284103" w14:textId="7C5B0752" w:rsidR="003E5FFD" w:rsidRPr="00471AF9" w:rsidRDefault="00470F1F" w:rsidP="003E5FFD">
      <w:pPr>
        <w:spacing w:after="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>
        <w:rPr>
          <w:rFonts w:ascii="Calibri" w:eastAsia="Times New Roman" w:hAnsi="Calibri" w:cs="Calibri"/>
          <w:szCs w:val="24"/>
          <w:lang w:eastAsia="cs-CZ"/>
        </w:rPr>
        <w:t>Příloha č. 1</w:t>
      </w:r>
      <w:r w:rsidR="003E5FFD" w:rsidRPr="00471AF9">
        <w:rPr>
          <w:rFonts w:ascii="Calibri" w:eastAsia="Times New Roman" w:hAnsi="Calibri" w:cs="Calibri"/>
          <w:szCs w:val="24"/>
          <w:lang w:eastAsia="cs-CZ"/>
        </w:rPr>
        <w:t xml:space="preserve"> - Technická specifikace</w:t>
      </w:r>
      <w:r>
        <w:rPr>
          <w:rFonts w:ascii="Calibri" w:eastAsia="Times New Roman" w:hAnsi="Calibri" w:cs="Calibri"/>
          <w:szCs w:val="24"/>
          <w:lang w:eastAsia="cs-CZ"/>
        </w:rPr>
        <w:t xml:space="preserve"> včetně ocenění</w:t>
      </w:r>
    </w:p>
    <w:p w14:paraId="3F52E6EF" w14:textId="467CB331" w:rsidR="003E5FFD" w:rsidRPr="00AF32AC" w:rsidRDefault="003E5FFD" w:rsidP="003E5FFD">
      <w:pPr>
        <w:spacing w:after="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471AF9">
        <w:rPr>
          <w:rFonts w:ascii="Calibri" w:eastAsia="Times New Roman" w:hAnsi="Calibri" w:cs="Calibri"/>
          <w:szCs w:val="24"/>
          <w:lang w:eastAsia="cs-CZ"/>
        </w:rPr>
        <w:t xml:space="preserve">Příloha č. </w:t>
      </w:r>
      <w:r w:rsidR="00470F1F">
        <w:rPr>
          <w:rFonts w:ascii="Calibri" w:eastAsia="Times New Roman" w:hAnsi="Calibri" w:cs="Calibri"/>
          <w:szCs w:val="24"/>
          <w:lang w:eastAsia="cs-CZ"/>
        </w:rPr>
        <w:t>2</w:t>
      </w:r>
      <w:r w:rsidR="00471AF9" w:rsidRPr="00471AF9">
        <w:rPr>
          <w:rFonts w:ascii="Calibri" w:eastAsia="Times New Roman" w:hAnsi="Calibri" w:cs="Calibri"/>
          <w:szCs w:val="24"/>
          <w:lang w:eastAsia="cs-CZ"/>
        </w:rPr>
        <w:t xml:space="preserve"> </w:t>
      </w:r>
      <w:r w:rsidRPr="00471AF9">
        <w:rPr>
          <w:rFonts w:ascii="Calibri" w:eastAsia="Times New Roman" w:hAnsi="Calibri" w:cs="Calibri"/>
          <w:szCs w:val="24"/>
          <w:lang w:eastAsia="cs-CZ"/>
        </w:rPr>
        <w:t>- Návrh</w:t>
      </w:r>
      <w:r w:rsidR="00225D91">
        <w:rPr>
          <w:rFonts w:ascii="Calibri" w:eastAsia="Times New Roman" w:hAnsi="Calibri" w:cs="Calibri"/>
          <w:szCs w:val="24"/>
          <w:lang w:eastAsia="cs-CZ"/>
        </w:rPr>
        <w:t xml:space="preserve"> Rámcové kupní smlouvy</w:t>
      </w:r>
    </w:p>
    <w:p w14:paraId="42AEF73C" w14:textId="77777777" w:rsidR="00911FF8" w:rsidRDefault="00911FF8" w:rsidP="00911FF8">
      <w:pPr>
        <w:rPr>
          <w:rFonts w:ascii="Calibri" w:eastAsia="Times New Roman" w:hAnsi="Calibri" w:cs="Calibri"/>
          <w:lang w:eastAsia="cs-CZ"/>
        </w:rPr>
      </w:pPr>
    </w:p>
    <w:p w14:paraId="28F6DA30" w14:textId="77777777" w:rsidR="00911FF8" w:rsidRPr="00FA7E5A" w:rsidRDefault="00911FF8" w:rsidP="00911FF8">
      <w:pPr>
        <w:rPr>
          <w:rFonts w:ascii="Calibri" w:eastAsia="Times New Roman" w:hAnsi="Calibri" w:cs="Calibri"/>
          <w:lang w:eastAsia="cs-CZ"/>
        </w:rPr>
      </w:pPr>
      <w:r w:rsidRPr="00FA7E5A">
        <w:rPr>
          <w:rFonts w:ascii="Calibri" w:eastAsia="Times New Roman" w:hAnsi="Calibri" w:cs="Calibri"/>
          <w:lang w:eastAsia="cs-CZ"/>
        </w:rPr>
        <w:t>V Klatovech</w:t>
      </w:r>
    </w:p>
    <w:p w14:paraId="53D95376" w14:textId="77777777" w:rsidR="00911FF8" w:rsidRDefault="00911FF8" w:rsidP="00911FF8">
      <w:pPr>
        <w:spacing w:before="240" w:after="400" w:line="240" w:lineRule="auto"/>
        <w:rPr>
          <w:rFonts w:ascii="Calibri" w:eastAsia="Times New Roman" w:hAnsi="Calibri" w:cs="Calibri"/>
          <w:lang w:eastAsia="cs-CZ"/>
        </w:rPr>
      </w:pPr>
    </w:p>
    <w:p w14:paraId="4D4322B1" w14:textId="77777777" w:rsidR="00E20BC4" w:rsidRDefault="00E20BC4" w:rsidP="00911FF8">
      <w:pPr>
        <w:spacing w:before="240" w:after="400" w:line="240" w:lineRule="auto"/>
        <w:rPr>
          <w:rFonts w:ascii="Calibri" w:eastAsia="Times New Roman" w:hAnsi="Calibri" w:cs="Calibri"/>
          <w:lang w:eastAsia="cs-CZ"/>
        </w:rPr>
      </w:pPr>
    </w:p>
    <w:p w14:paraId="2396B0ED" w14:textId="77777777" w:rsidR="00E20BC4" w:rsidRPr="00FA7E5A" w:rsidRDefault="00E20BC4" w:rsidP="00911FF8">
      <w:pPr>
        <w:spacing w:before="240" w:after="400" w:line="240" w:lineRule="auto"/>
        <w:rPr>
          <w:rFonts w:ascii="Calibri" w:eastAsia="Times New Roman" w:hAnsi="Calibri" w:cs="Calibri"/>
          <w:lang w:eastAsia="cs-CZ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911FF8" w:rsidRPr="00FA7E5A" w14:paraId="00C8649A" w14:textId="77777777" w:rsidTr="005A3868">
        <w:trPr>
          <w:trHeight w:hRule="exact" w:val="908"/>
        </w:trPr>
        <w:tc>
          <w:tcPr>
            <w:tcW w:w="3398" w:type="dxa"/>
            <w:tcBorders>
              <w:top w:val="dashed" w:sz="4" w:space="0" w:color="auto"/>
            </w:tcBorders>
            <w:vAlign w:val="center"/>
          </w:tcPr>
          <w:p w14:paraId="5363C0CA" w14:textId="77777777" w:rsidR="00911FF8" w:rsidRPr="00FA7E5A" w:rsidRDefault="00911FF8" w:rsidP="005A3868">
            <w:pPr>
              <w:spacing w:before="120"/>
              <w:rPr>
                <w:rFonts w:ascii="Calibri" w:eastAsia="Calibri" w:hAnsi="Calibri" w:cs="Times New Roman"/>
                <w:lang w:eastAsia="cs-CZ"/>
              </w:rPr>
            </w:pPr>
            <w:r w:rsidRPr="00FA7E5A">
              <w:rPr>
                <w:rFonts w:ascii="Calibri" w:eastAsia="Calibri" w:hAnsi="Calibri" w:cs="Times New Roman"/>
                <w:b/>
                <w:lang w:eastAsia="cs-CZ"/>
              </w:rPr>
              <w:t xml:space="preserve">MUDr. Petr Hubáček, MBA, LL.M.    </w:t>
            </w:r>
          </w:p>
        </w:tc>
        <w:tc>
          <w:tcPr>
            <w:tcW w:w="3398" w:type="dxa"/>
            <w:vAlign w:val="center"/>
          </w:tcPr>
          <w:p w14:paraId="34E7E6F1" w14:textId="77777777" w:rsidR="00911FF8" w:rsidRPr="00FA7E5A" w:rsidRDefault="00911FF8" w:rsidP="005A3868">
            <w:pPr>
              <w:spacing w:before="120"/>
              <w:rPr>
                <w:rFonts w:ascii="Calibri" w:eastAsia="Calibri" w:hAnsi="Calibri" w:cs="Times New Roman"/>
                <w:lang w:eastAsia="cs-CZ"/>
              </w:rPr>
            </w:pPr>
          </w:p>
        </w:tc>
        <w:tc>
          <w:tcPr>
            <w:tcW w:w="3398" w:type="dxa"/>
            <w:tcBorders>
              <w:top w:val="dashed" w:sz="4" w:space="0" w:color="auto"/>
            </w:tcBorders>
            <w:vAlign w:val="center"/>
          </w:tcPr>
          <w:p w14:paraId="3F93720F" w14:textId="77777777" w:rsidR="00911FF8" w:rsidRPr="00FA7E5A" w:rsidRDefault="00911FF8" w:rsidP="005A3868">
            <w:pPr>
              <w:rPr>
                <w:rFonts w:ascii="Calibri" w:eastAsia="Calibri" w:hAnsi="Calibri" w:cs="Times New Roman"/>
                <w:b/>
                <w:lang w:eastAsia="cs-CZ"/>
              </w:rPr>
            </w:pPr>
            <w:r w:rsidRPr="00FA7E5A">
              <w:rPr>
                <w:rFonts w:ascii="Calibri" w:eastAsia="Calibri" w:hAnsi="Calibri" w:cs="Times New Roman"/>
                <w:b/>
                <w:lang w:eastAsia="cs-CZ"/>
              </w:rPr>
              <w:t>Ing. Zdeněk Švanda</w:t>
            </w:r>
          </w:p>
          <w:p w14:paraId="168B805E" w14:textId="77777777" w:rsidR="00911FF8" w:rsidRPr="00FA7E5A" w:rsidRDefault="00911FF8" w:rsidP="005A3868">
            <w:pPr>
              <w:rPr>
                <w:rFonts w:ascii="Calibri" w:eastAsia="Calibri" w:hAnsi="Calibri" w:cs="Times New Roman"/>
                <w:b/>
                <w:lang w:eastAsia="cs-CZ"/>
              </w:rPr>
            </w:pPr>
          </w:p>
        </w:tc>
      </w:tr>
      <w:tr w:rsidR="00911FF8" w:rsidRPr="00FA7E5A" w14:paraId="315FE359" w14:textId="77777777" w:rsidTr="005A3868">
        <w:trPr>
          <w:trHeight w:hRule="exact" w:val="284"/>
        </w:trPr>
        <w:tc>
          <w:tcPr>
            <w:tcW w:w="3398" w:type="dxa"/>
            <w:vAlign w:val="center"/>
          </w:tcPr>
          <w:p w14:paraId="22C8223E" w14:textId="77777777" w:rsidR="00911FF8" w:rsidRPr="00FA7E5A" w:rsidRDefault="00911FF8" w:rsidP="005A3868">
            <w:pPr>
              <w:rPr>
                <w:rFonts w:ascii="Calibri" w:eastAsia="Calibri" w:hAnsi="Calibri" w:cs="Times New Roman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 xml:space="preserve">místopředseda představenstva                                                                            </w:t>
            </w:r>
          </w:p>
        </w:tc>
        <w:tc>
          <w:tcPr>
            <w:tcW w:w="3398" w:type="dxa"/>
            <w:vAlign w:val="center"/>
          </w:tcPr>
          <w:p w14:paraId="72D66423" w14:textId="77777777" w:rsidR="00911FF8" w:rsidRPr="00FA7E5A" w:rsidRDefault="00911FF8" w:rsidP="005A3868">
            <w:pPr>
              <w:rPr>
                <w:rFonts w:ascii="Calibri" w:eastAsia="Calibri" w:hAnsi="Calibri" w:cs="Times New Roman"/>
                <w:lang w:eastAsia="cs-CZ"/>
              </w:rPr>
            </w:pPr>
          </w:p>
        </w:tc>
        <w:tc>
          <w:tcPr>
            <w:tcW w:w="3398" w:type="dxa"/>
            <w:vAlign w:val="center"/>
          </w:tcPr>
          <w:p w14:paraId="25CC8039" w14:textId="77777777" w:rsidR="00911FF8" w:rsidRPr="00FA7E5A" w:rsidRDefault="00911FF8" w:rsidP="005A3868">
            <w:pPr>
              <w:rPr>
                <w:rFonts w:ascii="Calibri" w:eastAsia="Calibri" w:hAnsi="Calibri" w:cs="Times New Roman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 xml:space="preserve">předseda představenstva                                                                            </w:t>
            </w:r>
          </w:p>
        </w:tc>
      </w:tr>
      <w:tr w:rsidR="00911FF8" w:rsidRPr="00FA7E5A" w14:paraId="1204C318" w14:textId="77777777" w:rsidTr="005A3868">
        <w:trPr>
          <w:trHeight w:hRule="exact" w:val="284"/>
        </w:trPr>
        <w:tc>
          <w:tcPr>
            <w:tcW w:w="3398" w:type="dxa"/>
            <w:vAlign w:val="center"/>
          </w:tcPr>
          <w:p w14:paraId="46A1A29A" w14:textId="77777777" w:rsidR="00911FF8" w:rsidRPr="00FA7E5A" w:rsidRDefault="00911FF8" w:rsidP="005A3868">
            <w:pPr>
              <w:rPr>
                <w:rFonts w:ascii="Calibri" w:eastAsia="Calibri" w:hAnsi="Calibri" w:cs="Times New Roman"/>
                <w:lang w:eastAsia="cs-CZ"/>
              </w:rPr>
            </w:pPr>
            <w:r w:rsidRPr="00FA7E5A">
              <w:rPr>
                <w:rFonts w:ascii="Calibri" w:eastAsia="Calibri" w:hAnsi="Calibri" w:cs="Times New Roman"/>
                <w:lang w:eastAsia="cs-CZ"/>
              </w:rPr>
              <w:t xml:space="preserve">Klatovská nemocnice, a.s.                                                                        </w:t>
            </w:r>
          </w:p>
        </w:tc>
        <w:tc>
          <w:tcPr>
            <w:tcW w:w="3398" w:type="dxa"/>
            <w:vAlign w:val="center"/>
          </w:tcPr>
          <w:p w14:paraId="41E7BC8C" w14:textId="77777777" w:rsidR="00911FF8" w:rsidRPr="00FA7E5A" w:rsidRDefault="00911FF8" w:rsidP="005A3868">
            <w:pPr>
              <w:rPr>
                <w:rFonts w:ascii="Calibri" w:eastAsia="Calibri" w:hAnsi="Calibri" w:cs="Times New Roman"/>
                <w:lang w:eastAsia="cs-CZ"/>
              </w:rPr>
            </w:pPr>
          </w:p>
        </w:tc>
        <w:tc>
          <w:tcPr>
            <w:tcW w:w="3398" w:type="dxa"/>
            <w:vAlign w:val="center"/>
          </w:tcPr>
          <w:p w14:paraId="72390F16" w14:textId="77777777" w:rsidR="00911FF8" w:rsidRPr="00FA7E5A" w:rsidRDefault="00911FF8" w:rsidP="005A3868">
            <w:pPr>
              <w:rPr>
                <w:rFonts w:ascii="Calibri" w:eastAsia="Calibri" w:hAnsi="Calibri" w:cs="Times New Roman"/>
                <w:lang w:eastAsia="cs-CZ"/>
              </w:rPr>
            </w:pPr>
            <w:r w:rsidRPr="00FA7E5A">
              <w:rPr>
                <w:rFonts w:ascii="Calibri" w:eastAsia="Calibri" w:hAnsi="Calibri" w:cs="Times New Roman"/>
                <w:lang w:eastAsia="cs-CZ"/>
              </w:rPr>
              <w:t xml:space="preserve">Klatovská nemocnice, a.s.                                                                        </w:t>
            </w:r>
          </w:p>
        </w:tc>
      </w:tr>
      <w:tr w:rsidR="00911FF8" w:rsidRPr="00FA7E5A" w14:paraId="4A5993E9" w14:textId="77777777" w:rsidTr="005A3868">
        <w:trPr>
          <w:trHeight w:hRule="exact" w:val="612"/>
        </w:trPr>
        <w:tc>
          <w:tcPr>
            <w:tcW w:w="3398" w:type="dxa"/>
            <w:vAlign w:val="center"/>
          </w:tcPr>
          <w:p w14:paraId="5BBD2C2F" w14:textId="77777777" w:rsidR="00911FF8" w:rsidRPr="00FA7E5A" w:rsidRDefault="00911FF8" w:rsidP="005A3868">
            <w:pPr>
              <w:spacing w:before="240"/>
              <w:rPr>
                <w:rFonts w:ascii="Calibri" w:eastAsia="Calibri" w:hAnsi="Calibri" w:cs="Times New Roman"/>
                <w:lang w:eastAsia="cs-CZ"/>
              </w:rPr>
            </w:pPr>
            <w:r w:rsidRPr="00FA7E5A">
              <w:rPr>
                <w:rFonts w:ascii="Calibri" w:eastAsia="Calibri" w:hAnsi="Calibri" w:cs="Times New Roman"/>
                <w:lang w:eastAsia="cs-CZ"/>
              </w:rPr>
              <w:t xml:space="preserve">za zadavatele                                                                                       </w:t>
            </w:r>
          </w:p>
        </w:tc>
        <w:tc>
          <w:tcPr>
            <w:tcW w:w="3398" w:type="dxa"/>
            <w:vAlign w:val="center"/>
          </w:tcPr>
          <w:p w14:paraId="0354F752" w14:textId="77777777" w:rsidR="00911FF8" w:rsidRPr="00FA7E5A" w:rsidRDefault="00911FF8" w:rsidP="005A3868">
            <w:pPr>
              <w:rPr>
                <w:rFonts w:ascii="Calibri" w:eastAsia="Calibri" w:hAnsi="Calibri" w:cs="Times New Roman"/>
                <w:lang w:eastAsia="cs-CZ"/>
              </w:rPr>
            </w:pPr>
          </w:p>
        </w:tc>
        <w:tc>
          <w:tcPr>
            <w:tcW w:w="3398" w:type="dxa"/>
            <w:vAlign w:val="center"/>
          </w:tcPr>
          <w:p w14:paraId="6DA0BC02" w14:textId="77777777" w:rsidR="00911FF8" w:rsidRPr="00FA7E5A" w:rsidRDefault="00911FF8" w:rsidP="005A3868">
            <w:pPr>
              <w:spacing w:before="240"/>
              <w:rPr>
                <w:rFonts w:ascii="Calibri" w:eastAsia="Calibri" w:hAnsi="Calibri" w:cs="Times New Roman"/>
                <w:lang w:eastAsia="cs-CZ"/>
              </w:rPr>
            </w:pPr>
            <w:r w:rsidRPr="00FA7E5A">
              <w:rPr>
                <w:rFonts w:ascii="Calibri" w:eastAsia="Calibri" w:hAnsi="Calibri" w:cs="Times New Roman"/>
                <w:lang w:eastAsia="cs-CZ"/>
              </w:rPr>
              <w:t xml:space="preserve">za zadavatele                                                                                      </w:t>
            </w:r>
          </w:p>
        </w:tc>
      </w:tr>
    </w:tbl>
    <w:p w14:paraId="698C33E0" w14:textId="77777777" w:rsidR="00911FF8" w:rsidRPr="00AF32AC" w:rsidRDefault="00911FF8" w:rsidP="00911FF8">
      <w:pPr>
        <w:spacing w:after="0"/>
        <w:rPr>
          <w:i/>
          <w:sz w:val="20"/>
        </w:rPr>
      </w:pPr>
    </w:p>
    <w:p w14:paraId="18087952" w14:textId="631147A8" w:rsidR="00310E53" w:rsidRPr="00AF32AC" w:rsidRDefault="00310E53" w:rsidP="00911FF8">
      <w:pPr>
        <w:spacing w:before="360" w:after="400" w:line="384" w:lineRule="auto"/>
        <w:rPr>
          <w:i/>
          <w:sz w:val="20"/>
        </w:rPr>
      </w:pPr>
    </w:p>
    <w:sectPr w:rsidR="00310E53" w:rsidRPr="00AF32AC" w:rsidSect="004E1F0C">
      <w:footerReference w:type="default" r:id="rId8"/>
      <w:headerReference w:type="first" r:id="rId9"/>
      <w:footerReference w:type="first" r:id="rId10"/>
      <w:pgSz w:w="11906" w:h="16838" w:code="9"/>
      <w:pgMar w:top="1560" w:right="851" w:bottom="851" w:left="851" w:header="0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7890B5" w16cid:durableId="637890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3B878" w14:textId="77777777" w:rsidR="00A50CA1" w:rsidRDefault="00A50CA1" w:rsidP="005F0732">
      <w:pPr>
        <w:spacing w:after="0" w:line="240" w:lineRule="auto"/>
      </w:pPr>
      <w:r>
        <w:separator/>
      </w:r>
    </w:p>
  </w:endnote>
  <w:endnote w:type="continuationSeparator" w:id="0">
    <w:p w14:paraId="0819D2BF" w14:textId="77777777" w:rsidR="00A50CA1" w:rsidRDefault="00A50CA1" w:rsidP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993143"/>
      <w:docPartObj>
        <w:docPartGallery w:val="Page Numbers (Bottom of Page)"/>
        <w:docPartUnique/>
      </w:docPartObj>
    </w:sdtPr>
    <w:sdtEndPr/>
    <w:sdtContent>
      <w:p w14:paraId="5EE2470D" w14:textId="77777777" w:rsidR="00A50CA1" w:rsidRDefault="00A50C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94D">
          <w:rPr>
            <w:noProof/>
          </w:rPr>
          <w:t>8</w:t>
        </w:r>
        <w:r>
          <w:fldChar w:fldCharType="end"/>
        </w:r>
      </w:p>
    </w:sdtContent>
  </w:sdt>
  <w:p w14:paraId="29CCB396" w14:textId="77777777" w:rsidR="00A50CA1" w:rsidRDefault="00A50CA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718794"/>
      <w:docPartObj>
        <w:docPartGallery w:val="Page Numbers (Bottom of Page)"/>
        <w:docPartUnique/>
      </w:docPartObj>
    </w:sdtPr>
    <w:sdtEndPr/>
    <w:sdtContent>
      <w:p w14:paraId="72ED8E49" w14:textId="77777777" w:rsidR="00A50CA1" w:rsidRDefault="00A50C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94D">
          <w:rPr>
            <w:noProof/>
          </w:rPr>
          <w:t>1</w:t>
        </w:r>
        <w:r>
          <w:fldChar w:fldCharType="end"/>
        </w:r>
      </w:p>
    </w:sdtContent>
  </w:sdt>
  <w:p w14:paraId="1E787BC9" w14:textId="77777777" w:rsidR="00A50CA1" w:rsidRDefault="00A50C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1D577" w14:textId="77777777" w:rsidR="00A50CA1" w:rsidRDefault="00A50CA1" w:rsidP="005F0732">
      <w:pPr>
        <w:spacing w:after="0" w:line="240" w:lineRule="auto"/>
      </w:pPr>
      <w:r>
        <w:separator/>
      </w:r>
    </w:p>
  </w:footnote>
  <w:footnote w:type="continuationSeparator" w:id="0">
    <w:p w14:paraId="7FEFAC52" w14:textId="77777777" w:rsidR="00A50CA1" w:rsidRDefault="00A50CA1" w:rsidP="005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35C42" w14:textId="23E5D11E" w:rsidR="00A50CA1" w:rsidRPr="004D3C09" w:rsidRDefault="00A50CA1" w:rsidP="004D3C09">
    <w:pPr>
      <w:pStyle w:val="Zhlav"/>
      <w:tabs>
        <w:tab w:val="clear" w:pos="4536"/>
        <w:tab w:val="left" w:pos="1725"/>
        <w:tab w:val="left" w:pos="6804"/>
      </w:tabs>
      <w:spacing w:before="120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0643B9" wp14:editId="4360E0C1">
          <wp:simplePos x="0" y="0"/>
          <wp:positionH relativeFrom="column">
            <wp:posOffset>-121285</wp:posOffset>
          </wp:positionH>
          <wp:positionV relativeFrom="paragraph">
            <wp:posOffset>133350</wp:posOffset>
          </wp:positionV>
          <wp:extent cx="1609725" cy="1006475"/>
          <wp:effectExtent l="0" t="0" r="9525" b="317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0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5125C"/>
    <w:multiLevelType w:val="hybridMultilevel"/>
    <w:tmpl w:val="0BB0B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7F78"/>
    <w:multiLevelType w:val="multilevel"/>
    <w:tmpl w:val="3DAEA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2C94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77D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AD65F5"/>
    <w:multiLevelType w:val="multilevel"/>
    <w:tmpl w:val="3DAEA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54CCC"/>
    <w:multiLevelType w:val="hybridMultilevel"/>
    <w:tmpl w:val="F6C2F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1438"/>
    <w:multiLevelType w:val="hybridMultilevel"/>
    <w:tmpl w:val="3DAEA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20276"/>
    <w:multiLevelType w:val="hybridMultilevel"/>
    <w:tmpl w:val="EF461274"/>
    <w:lvl w:ilvl="0" w:tplc="182E086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D726F"/>
    <w:multiLevelType w:val="multilevel"/>
    <w:tmpl w:val="28BAD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251984"/>
    <w:multiLevelType w:val="hybridMultilevel"/>
    <w:tmpl w:val="FC9A5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51250"/>
    <w:multiLevelType w:val="multilevel"/>
    <w:tmpl w:val="34609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4074BBC"/>
    <w:multiLevelType w:val="hybridMultilevel"/>
    <w:tmpl w:val="02E09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32264"/>
    <w:multiLevelType w:val="hybridMultilevel"/>
    <w:tmpl w:val="252A2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22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014E2"/>
    <w:multiLevelType w:val="hybridMultilevel"/>
    <w:tmpl w:val="BCAEF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3"/>
  </w:num>
  <w:num w:numId="10">
    <w:abstractNumId w:val="11"/>
  </w:num>
  <w:num w:numId="11">
    <w:abstractNumId w:val="18"/>
  </w:num>
  <w:num w:numId="12">
    <w:abstractNumId w:val="12"/>
  </w:num>
  <w:num w:numId="13">
    <w:abstractNumId w:val="16"/>
  </w:num>
  <w:num w:numId="14">
    <w:abstractNumId w:val="7"/>
  </w:num>
  <w:num w:numId="15">
    <w:abstractNumId w:val="1"/>
  </w:num>
  <w:num w:numId="16">
    <w:abstractNumId w:val="5"/>
  </w:num>
  <w:num w:numId="17">
    <w:abstractNumId w:val="4"/>
  </w:num>
  <w:num w:numId="18">
    <w:abstractNumId w:val="9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01072"/>
    <w:rsid w:val="00002D63"/>
    <w:rsid w:val="00010784"/>
    <w:rsid w:val="00025B6C"/>
    <w:rsid w:val="00031362"/>
    <w:rsid w:val="00041722"/>
    <w:rsid w:val="00042DC1"/>
    <w:rsid w:val="000508FB"/>
    <w:rsid w:val="00051701"/>
    <w:rsid w:val="00070A53"/>
    <w:rsid w:val="00074E9C"/>
    <w:rsid w:val="00080B3C"/>
    <w:rsid w:val="00091E4F"/>
    <w:rsid w:val="000A3CC0"/>
    <w:rsid w:val="000A71CD"/>
    <w:rsid w:val="000B089A"/>
    <w:rsid w:val="000C037B"/>
    <w:rsid w:val="000C6316"/>
    <w:rsid w:val="000D0394"/>
    <w:rsid w:val="0010317D"/>
    <w:rsid w:val="0010768C"/>
    <w:rsid w:val="001134F4"/>
    <w:rsid w:val="001145B2"/>
    <w:rsid w:val="00136892"/>
    <w:rsid w:val="00143149"/>
    <w:rsid w:val="00146E79"/>
    <w:rsid w:val="001526D3"/>
    <w:rsid w:val="001608DC"/>
    <w:rsid w:val="00165F4D"/>
    <w:rsid w:val="00167387"/>
    <w:rsid w:val="00167C38"/>
    <w:rsid w:val="00176108"/>
    <w:rsid w:val="001764A8"/>
    <w:rsid w:val="00181258"/>
    <w:rsid w:val="0018236E"/>
    <w:rsid w:val="001966FF"/>
    <w:rsid w:val="001E6D2B"/>
    <w:rsid w:val="001F7537"/>
    <w:rsid w:val="0020333C"/>
    <w:rsid w:val="002061D2"/>
    <w:rsid w:val="002152F2"/>
    <w:rsid w:val="00216482"/>
    <w:rsid w:val="00225D91"/>
    <w:rsid w:val="00226BF3"/>
    <w:rsid w:val="00235DDE"/>
    <w:rsid w:val="002367E3"/>
    <w:rsid w:val="002370AE"/>
    <w:rsid w:val="00260EB3"/>
    <w:rsid w:val="002629BB"/>
    <w:rsid w:val="00295A36"/>
    <w:rsid w:val="00295DB1"/>
    <w:rsid w:val="002A0BB6"/>
    <w:rsid w:val="002A2D00"/>
    <w:rsid w:val="002A3255"/>
    <w:rsid w:val="002B03E3"/>
    <w:rsid w:val="002C2CD0"/>
    <w:rsid w:val="002F6406"/>
    <w:rsid w:val="00304959"/>
    <w:rsid w:val="00304A26"/>
    <w:rsid w:val="00310E53"/>
    <w:rsid w:val="0031405F"/>
    <w:rsid w:val="0032294D"/>
    <w:rsid w:val="00331D71"/>
    <w:rsid w:val="00332897"/>
    <w:rsid w:val="00337039"/>
    <w:rsid w:val="00341DDF"/>
    <w:rsid w:val="00350096"/>
    <w:rsid w:val="00353A55"/>
    <w:rsid w:val="00362A1D"/>
    <w:rsid w:val="00365579"/>
    <w:rsid w:val="00371FF5"/>
    <w:rsid w:val="00377608"/>
    <w:rsid w:val="0038134D"/>
    <w:rsid w:val="003A24C9"/>
    <w:rsid w:val="003A468B"/>
    <w:rsid w:val="003A4FA3"/>
    <w:rsid w:val="003B1805"/>
    <w:rsid w:val="003C1A0B"/>
    <w:rsid w:val="003D20FA"/>
    <w:rsid w:val="003D3BE9"/>
    <w:rsid w:val="003E06B6"/>
    <w:rsid w:val="003E1FDC"/>
    <w:rsid w:val="003E2B41"/>
    <w:rsid w:val="003E372A"/>
    <w:rsid w:val="003E3F2C"/>
    <w:rsid w:val="003E5FFD"/>
    <w:rsid w:val="004000EE"/>
    <w:rsid w:val="00416660"/>
    <w:rsid w:val="0042381D"/>
    <w:rsid w:val="004259A7"/>
    <w:rsid w:val="00441F6A"/>
    <w:rsid w:val="0044754A"/>
    <w:rsid w:val="00466E19"/>
    <w:rsid w:val="00470DC3"/>
    <w:rsid w:val="00470F1F"/>
    <w:rsid w:val="0047147E"/>
    <w:rsid w:val="00471AF9"/>
    <w:rsid w:val="0048490B"/>
    <w:rsid w:val="004B11AE"/>
    <w:rsid w:val="004B1EA6"/>
    <w:rsid w:val="004C1A8B"/>
    <w:rsid w:val="004D3C09"/>
    <w:rsid w:val="004D4347"/>
    <w:rsid w:val="004D54FD"/>
    <w:rsid w:val="004D73E5"/>
    <w:rsid w:val="004E1F0C"/>
    <w:rsid w:val="004F2F36"/>
    <w:rsid w:val="004F359A"/>
    <w:rsid w:val="004F6552"/>
    <w:rsid w:val="005151D9"/>
    <w:rsid w:val="00562B1C"/>
    <w:rsid w:val="00563770"/>
    <w:rsid w:val="0057493F"/>
    <w:rsid w:val="00585818"/>
    <w:rsid w:val="005D1855"/>
    <w:rsid w:val="005E2A50"/>
    <w:rsid w:val="005E7ACE"/>
    <w:rsid w:val="005F0732"/>
    <w:rsid w:val="00600A84"/>
    <w:rsid w:val="006045D0"/>
    <w:rsid w:val="00604B93"/>
    <w:rsid w:val="00607D39"/>
    <w:rsid w:val="00611C59"/>
    <w:rsid w:val="00630D1A"/>
    <w:rsid w:val="00654D34"/>
    <w:rsid w:val="00667790"/>
    <w:rsid w:val="00673854"/>
    <w:rsid w:val="00685919"/>
    <w:rsid w:val="006868E2"/>
    <w:rsid w:val="006A62EA"/>
    <w:rsid w:val="006B25F6"/>
    <w:rsid w:val="006B2DD1"/>
    <w:rsid w:val="006C0601"/>
    <w:rsid w:val="006C0ECA"/>
    <w:rsid w:val="006E1152"/>
    <w:rsid w:val="006E5166"/>
    <w:rsid w:val="006F0167"/>
    <w:rsid w:val="00703B68"/>
    <w:rsid w:val="007062F1"/>
    <w:rsid w:val="00715E8B"/>
    <w:rsid w:val="00740C40"/>
    <w:rsid w:val="007510DE"/>
    <w:rsid w:val="00757E6D"/>
    <w:rsid w:val="00770717"/>
    <w:rsid w:val="00786DA6"/>
    <w:rsid w:val="0079299D"/>
    <w:rsid w:val="00792B49"/>
    <w:rsid w:val="0079631D"/>
    <w:rsid w:val="007B4D01"/>
    <w:rsid w:val="007C3822"/>
    <w:rsid w:val="007D7FBC"/>
    <w:rsid w:val="007F5F3F"/>
    <w:rsid w:val="00800AB4"/>
    <w:rsid w:val="0080125B"/>
    <w:rsid w:val="008034C5"/>
    <w:rsid w:val="00805F29"/>
    <w:rsid w:val="008132AA"/>
    <w:rsid w:val="00821127"/>
    <w:rsid w:val="00822CDC"/>
    <w:rsid w:val="008338A1"/>
    <w:rsid w:val="008412A1"/>
    <w:rsid w:val="00862F10"/>
    <w:rsid w:val="00891932"/>
    <w:rsid w:val="008A22CB"/>
    <w:rsid w:val="008B33CA"/>
    <w:rsid w:val="008D06DC"/>
    <w:rsid w:val="008D0F57"/>
    <w:rsid w:val="008D542E"/>
    <w:rsid w:val="008E52D2"/>
    <w:rsid w:val="008F0666"/>
    <w:rsid w:val="008F1615"/>
    <w:rsid w:val="0090032A"/>
    <w:rsid w:val="00901402"/>
    <w:rsid w:val="00911043"/>
    <w:rsid w:val="00911FF8"/>
    <w:rsid w:val="0091482E"/>
    <w:rsid w:val="00920574"/>
    <w:rsid w:val="00941475"/>
    <w:rsid w:val="00961637"/>
    <w:rsid w:val="00961B18"/>
    <w:rsid w:val="00972BC0"/>
    <w:rsid w:val="009B24AA"/>
    <w:rsid w:val="009C439E"/>
    <w:rsid w:val="009C4580"/>
    <w:rsid w:val="009E6708"/>
    <w:rsid w:val="009F230F"/>
    <w:rsid w:val="00A01C5B"/>
    <w:rsid w:val="00A10B48"/>
    <w:rsid w:val="00A128E8"/>
    <w:rsid w:val="00A26F7D"/>
    <w:rsid w:val="00A340E6"/>
    <w:rsid w:val="00A45CD3"/>
    <w:rsid w:val="00A50CA1"/>
    <w:rsid w:val="00A5207F"/>
    <w:rsid w:val="00A533D3"/>
    <w:rsid w:val="00A76C8C"/>
    <w:rsid w:val="00A8345E"/>
    <w:rsid w:val="00A8628F"/>
    <w:rsid w:val="00AB36D9"/>
    <w:rsid w:val="00AB4E3A"/>
    <w:rsid w:val="00AC0B18"/>
    <w:rsid w:val="00AC4287"/>
    <w:rsid w:val="00AC5C57"/>
    <w:rsid w:val="00AC61A8"/>
    <w:rsid w:val="00AE2157"/>
    <w:rsid w:val="00AE3768"/>
    <w:rsid w:val="00AF2A97"/>
    <w:rsid w:val="00AF32AC"/>
    <w:rsid w:val="00B0195E"/>
    <w:rsid w:val="00B03BAD"/>
    <w:rsid w:val="00B061CC"/>
    <w:rsid w:val="00B06A5E"/>
    <w:rsid w:val="00B108B7"/>
    <w:rsid w:val="00B1667F"/>
    <w:rsid w:val="00B25A69"/>
    <w:rsid w:val="00B26C56"/>
    <w:rsid w:val="00B32894"/>
    <w:rsid w:val="00B3788D"/>
    <w:rsid w:val="00B472CE"/>
    <w:rsid w:val="00B513D3"/>
    <w:rsid w:val="00B64139"/>
    <w:rsid w:val="00B64E9A"/>
    <w:rsid w:val="00B75823"/>
    <w:rsid w:val="00B7737C"/>
    <w:rsid w:val="00B80321"/>
    <w:rsid w:val="00B91CD4"/>
    <w:rsid w:val="00B97F41"/>
    <w:rsid w:val="00BC2439"/>
    <w:rsid w:val="00BC2DD6"/>
    <w:rsid w:val="00BD18BD"/>
    <w:rsid w:val="00BE6446"/>
    <w:rsid w:val="00BE6656"/>
    <w:rsid w:val="00C16797"/>
    <w:rsid w:val="00C34265"/>
    <w:rsid w:val="00C3484E"/>
    <w:rsid w:val="00C459CD"/>
    <w:rsid w:val="00C46878"/>
    <w:rsid w:val="00C50572"/>
    <w:rsid w:val="00C528B4"/>
    <w:rsid w:val="00C73900"/>
    <w:rsid w:val="00C76E0E"/>
    <w:rsid w:val="00C77A8A"/>
    <w:rsid w:val="00C92370"/>
    <w:rsid w:val="00C9383C"/>
    <w:rsid w:val="00CA0413"/>
    <w:rsid w:val="00CA23DC"/>
    <w:rsid w:val="00CA3C6D"/>
    <w:rsid w:val="00CC5713"/>
    <w:rsid w:val="00CD4D49"/>
    <w:rsid w:val="00CE3349"/>
    <w:rsid w:val="00CE4B11"/>
    <w:rsid w:val="00CE52CB"/>
    <w:rsid w:val="00CE738D"/>
    <w:rsid w:val="00D06545"/>
    <w:rsid w:val="00D17320"/>
    <w:rsid w:val="00D20A8F"/>
    <w:rsid w:val="00D40E8D"/>
    <w:rsid w:val="00D410D0"/>
    <w:rsid w:val="00D44383"/>
    <w:rsid w:val="00D50515"/>
    <w:rsid w:val="00D70642"/>
    <w:rsid w:val="00D949D5"/>
    <w:rsid w:val="00DA1379"/>
    <w:rsid w:val="00DA25A7"/>
    <w:rsid w:val="00DA6F77"/>
    <w:rsid w:val="00DB5BC2"/>
    <w:rsid w:val="00DB5BF3"/>
    <w:rsid w:val="00DB6628"/>
    <w:rsid w:val="00DB6F50"/>
    <w:rsid w:val="00DC490C"/>
    <w:rsid w:val="00DD08CD"/>
    <w:rsid w:val="00DD3B07"/>
    <w:rsid w:val="00DD4717"/>
    <w:rsid w:val="00DD6FBA"/>
    <w:rsid w:val="00DF0B47"/>
    <w:rsid w:val="00E06C33"/>
    <w:rsid w:val="00E110C2"/>
    <w:rsid w:val="00E15802"/>
    <w:rsid w:val="00E17FEE"/>
    <w:rsid w:val="00E20BC4"/>
    <w:rsid w:val="00E21363"/>
    <w:rsid w:val="00E218F1"/>
    <w:rsid w:val="00E26E55"/>
    <w:rsid w:val="00E40E29"/>
    <w:rsid w:val="00E56A98"/>
    <w:rsid w:val="00E57675"/>
    <w:rsid w:val="00E608FC"/>
    <w:rsid w:val="00E6467E"/>
    <w:rsid w:val="00E879CC"/>
    <w:rsid w:val="00E90B5F"/>
    <w:rsid w:val="00EB5099"/>
    <w:rsid w:val="00EC1271"/>
    <w:rsid w:val="00EC69FF"/>
    <w:rsid w:val="00EE0C64"/>
    <w:rsid w:val="00EF2723"/>
    <w:rsid w:val="00EF43A3"/>
    <w:rsid w:val="00EF4E62"/>
    <w:rsid w:val="00F0394D"/>
    <w:rsid w:val="00F06110"/>
    <w:rsid w:val="00F0694D"/>
    <w:rsid w:val="00F16AF6"/>
    <w:rsid w:val="00F322AD"/>
    <w:rsid w:val="00F3645A"/>
    <w:rsid w:val="00F37B21"/>
    <w:rsid w:val="00F51503"/>
    <w:rsid w:val="00F57CC2"/>
    <w:rsid w:val="00F619A4"/>
    <w:rsid w:val="00F702FF"/>
    <w:rsid w:val="00F72582"/>
    <w:rsid w:val="00F77EA6"/>
    <w:rsid w:val="00F8682A"/>
    <w:rsid w:val="00F9116F"/>
    <w:rsid w:val="00F95C48"/>
    <w:rsid w:val="00FB7DEE"/>
    <w:rsid w:val="00FC5F9C"/>
    <w:rsid w:val="00FC6C98"/>
    <w:rsid w:val="00FD004F"/>
    <w:rsid w:val="00FD237C"/>
    <w:rsid w:val="00FD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D767900"/>
  <w15:chartTrackingRefBased/>
  <w15:docId w15:val="{B443B3DE-E23B-4087-9BFE-1E2B9F52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paragraph" w:styleId="Nadpis1">
    <w:name w:val="heading 1"/>
    <w:basedOn w:val="Normln"/>
    <w:next w:val="Normln"/>
    <w:link w:val="Nadpis1Char"/>
    <w:uiPriority w:val="9"/>
    <w:qFormat/>
    <w:rsid w:val="000C6316"/>
    <w:pPr>
      <w:keepNext/>
      <w:keepLines/>
      <w:numPr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 w:after="12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31D"/>
    <w:pPr>
      <w:keepNext/>
      <w:keepLines/>
      <w:numPr>
        <w:ilvl w:val="1"/>
        <w:numId w:val="17"/>
      </w:numPr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631D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631D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631D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631D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631D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631D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631D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aliases w:val="Zvýrazněný bez mezer,text"/>
    <w:link w:val="BezmezerChar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92B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27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C6316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0C6316"/>
    <w:rPr>
      <w:rFonts w:eastAsiaTheme="majorEastAsia" w:cstheme="majorBidi"/>
      <w:b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0C6316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C63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061CC"/>
    <w:pPr>
      <w:tabs>
        <w:tab w:val="left" w:pos="880"/>
        <w:tab w:val="right" w:leader="dot" w:pos="10194"/>
      </w:tabs>
      <w:spacing w:after="100"/>
      <w:ind w:left="220"/>
    </w:pPr>
    <w:rPr>
      <w:rFonts w:eastAsia="Times New Roman" w:cstheme="majorBidi"/>
      <w:noProof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63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63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6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6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6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zmezerChar">
    <w:name w:val="Bez mezer Char"/>
    <w:aliases w:val="Zvýrazněný bez mezer Char,text Char"/>
    <w:link w:val="Bezmezer"/>
    <w:uiPriority w:val="1"/>
    <w:rsid w:val="00091E4F"/>
  </w:style>
  <w:style w:type="table" w:customStyle="1" w:styleId="Mkatabulky2">
    <w:name w:val="Mřížka tabulky2"/>
    <w:basedOn w:val="Normlntabulka"/>
    <w:next w:val="Mkatabulky"/>
    <w:uiPriority w:val="39"/>
    <w:rsid w:val="0091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D1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89167-6978-43E9-8E31-F19460B7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2990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Renata Janoušková</cp:lastModifiedBy>
  <cp:revision>2</cp:revision>
  <cp:lastPrinted>2025-10-14T07:00:00Z</cp:lastPrinted>
  <dcterms:created xsi:type="dcterms:W3CDTF">2025-10-30T16:52:00Z</dcterms:created>
  <dcterms:modified xsi:type="dcterms:W3CDTF">2025-10-30T16:52:00Z</dcterms:modified>
</cp:coreProperties>
</file>