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CB1F37" w:rsidRPr="00CB1F37">
        <w:rPr>
          <w:rFonts w:ascii="Arial" w:eastAsia="Arial" w:hAnsi="Arial" w:cs="Arial"/>
          <w:bCs/>
          <w:sz w:val="20"/>
        </w:rPr>
        <w:t>Oprava zádržného systému - most ev. č. 18214-4 Radkovice</w:t>
      </w:r>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CB1F37" w:rsidRPr="00CB1F37">
        <w:rPr>
          <w:rFonts w:ascii="Arial" w:hAnsi="Arial" w:cs="Arial"/>
          <w:bCs/>
          <w:sz w:val="20"/>
          <w:szCs w:val="20"/>
        </w:rPr>
        <w:t>P25V00000182</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Pr="007A17FD">
        <w:rPr>
          <w:rFonts w:ascii="Arial" w:hAnsi="Arial" w:cs="Arial"/>
          <w:sz w:val="20"/>
          <w:szCs w:val="20"/>
        </w:rPr>
        <w:t xml:space="preserve">, </w:t>
      </w:r>
      <w:r w:rsidR="00B55FC3">
        <w:rPr>
          <w:rFonts w:ascii="Arial" w:hAnsi="Arial" w:cs="Arial"/>
          <w:sz w:val="20"/>
          <w:szCs w:val="20"/>
        </w:rPr>
        <w:t>pověřený řízením organizace</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CB1F37" w:rsidP="00274665">
      <w:pPr>
        <w:spacing w:after="0"/>
        <w:ind w:left="567"/>
        <w:jc w:val="both"/>
        <w:rPr>
          <w:rFonts w:ascii="Arial" w:hAnsi="Arial" w:cs="Arial"/>
          <w:sz w:val="20"/>
          <w:szCs w:val="20"/>
        </w:rPr>
      </w:pPr>
      <w:r w:rsidRPr="00CB1F37">
        <w:rPr>
          <w:rFonts w:ascii="Arial" w:hAnsi="Arial" w:cs="Arial"/>
          <w:sz w:val="20"/>
          <w:szCs w:val="20"/>
        </w:rPr>
        <w:t xml:space="preserve">Ing. Jaroslav Vejprava, +420 778 457 699, </w:t>
      </w:r>
      <w:hyperlink r:id="rId10" w:history="1">
        <w:r w:rsidRPr="00FA3EFC">
          <w:rPr>
            <w:rStyle w:val="Hypertextovodkaz"/>
            <w:rFonts w:ascii="Arial" w:hAnsi="Arial" w:cs="Arial"/>
            <w:sz w:val="20"/>
            <w:szCs w:val="20"/>
          </w:rPr>
          <w:t>jaroslav.vejprava@suspk.eu</w:t>
        </w:r>
      </w:hyperlink>
      <w:r>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CB1F37">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CB1F37" w:rsidRPr="00CB1F37">
        <w:rPr>
          <w:rFonts w:ascii="Arial" w:hAnsi="Arial" w:cs="Arial"/>
          <w:b/>
          <w:bCs/>
          <w:sz w:val="20"/>
          <w:szCs w:val="20"/>
        </w:rPr>
        <w:t>Oprava zádržného systému - most ev. č. 18214-4 Radkovice</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do jednoho (1) měsíce </w:t>
      </w:r>
      <w:r w:rsidRPr="00B55FC3">
        <w:rPr>
          <w:rFonts w:ascii="Arial" w:hAnsi="Arial" w:cs="Arial"/>
          <w:sz w:val="20"/>
          <w:szCs w:val="20"/>
          <w:lang w:eastAsia="en-US"/>
        </w:rPr>
        <w:t xml:space="preserve">od předání </w:t>
      </w:r>
      <w:r w:rsidRPr="00B55FC3">
        <w:rPr>
          <w:rFonts w:ascii="Arial" w:hAnsi="Arial" w:cs="Arial"/>
          <w:sz w:val="20"/>
          <w:szCs w:val="20"/>
        </w:rPr>
        <w:t>staveniště, nejpozději do 31. 5.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bookmarkStart w:id="6" w:name="_GoBack"/>
      <w:bookmarkEnd w:id="6"/>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784EB5"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3 </w:t>
      </w:r>
      <w:r w:rsidR="00B55FC3" w:rsidRPr="00B55FC3">
        <w:rPr>
          <w:rFonts w:ascii="Arial" w:hAnsi="Arial" w:cs="Arial"/>
          <w:sz w:val="20"/>
          <w:szCs w:val="20"/>
        </w:rPr>
        <w:t>–</w:t>
      </w:r>
      <w:r w:rsidRPr="00B55FC3">
        <w:rPr>
          <w:rFonts w:ascii="Arial" w:hAnsi="Arial" w:cs="Arial"/>
          <w:sz w:val="20"/>
          <w:szCs w:val="20"/>
        </w:rPr>
        <w:t xml:space="preserve"> </w:t>
      </w:r>
      <w:r w:rsidR="00B55FC3" w:rsidRPr="00B55FC3">
        <w:rPr>
          <w:rFonts w:ascii="Arial" w:hAnsi="Arial" w:cs="Arial"/>
          <w:sz w:val="20"/>
          <w:szCs w:val="20"/>
        </w:rPr>
        <w:t>pověření Ing. Jiří Velíšek</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B55FC3" w:rsidP="003B1D62">
      <w:pPr>
        <w:spacing w:after="0"/>
        <w:jc w:val="both"/>
        <w:rPr>
          <w:rFonts w:ascii="Arial" w:hAnsi="Arial" w:cs="Arial"/>
          <w:sz w:val="20"/>
          <w:szCs w:val="20"/>
        </w:rPr>
      </w:pPr>
      <w:r>
        <w:rPr>
          <w:rFonts w:ascii="Arial" w:hAnsi="Arial" w:cs="Arial"/>
          <w:sz w:val="20"/>
          <w:szCs w:val="20"/>
        </w:rPr>
        <w:t>pověřený řízením organizace</w:t>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DA5BC2" w:rsidP="003B1D62">
      <w:pPr>
        <w:spacing w:after="0"/>
        <w:jc w:val="both"/>
        <w:rPr>
          <w:rFonts w:ascii="Arial" w:hAnsi="Arial" w:cs="Arial"/>
          <w:i/>
          <w:sz w:val="20"/>
          <w:szCs w:val="20"/>
        </w:rPr>
      </w:pPr>
      <w:r>
        <w:rPr>
          <w:rFonts w:ascii="Arial" w:hAnsi="Arial" w:cs="Arial"/>
          <w:i/>
          <w:sz w:val="20"/>
          <w:szCs w:val="20"/>
        </w:rPr>
        <w:lastRenderedPageBreak/>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BF651A">
      <w:rPr>
        <w:rFonts w:ascii="Arial" w:eastAsia="Arial" w:hAnsi="Arial" w:cs="Arial"/>
        <w:noProof/>
        <w:sz w:val="16"/>
        <w:szCs w:val="16"/>
      </w:rPr>
      <w:t>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F651A">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CB1F37" w:rsidRPr="00CB1F37">
      <w:rPr>
        <w:rFonts w:ascii="Arial" w:hAnsi="Arial" w:cs="Arial"/>
        <w:sz w:val="18"/>
        <w:szCs w:val="18"/>
      </w:rPr>
      <w:t>Oprava zádržného systému - most ev. č. 18214-4 Radkovice</w:t>
    </w:r>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BF651A"/>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jaroslav.vejprav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DDFEC-42D2-484F-8033-CB22FE71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8473</Words>
  <Characters>49993</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8</cp:revision>
  <cp:lastPrinted>2023-06-07T05:39:00Z</cp:lastPrinted>
  <dcterms:created xsi:type="dcterms:W3CDTF">2025-03-12T09:20:00Z</dcterms:created>
  <dcterms:modified xsi:type="dcterms:W3CDTF">2025-03-27T09:12:00Z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