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E56AC1" w:rsidRPr="00181E2A" w14:paraId="545F11BB" w14:textId="77777777" w:rsidTr="00E56AC1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4BEBCD4" w14:textId="6EF61E68" w:rsidR="00E56AC1" w:rsidRPr="006D5439" w:rsidRDefault="00E56AC1" w:rsidP="0045331A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top"/>
            <w:bookmarkEnd w:id="0"/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ZADÁVACÍ DOKUMENTACE</w:t>
            </w:r>
          </w:p>
        </w:tc>
      </w:tr>
      <w:tr w:rsidR="00E56AC1" w:rsidRPr="00181E2A" w14:paraId="2B202DA2" w14:textId="77777777" w:rsidTr="00E56AC1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38263F" w14:textId="77777777" w:rsidR="00E56AC1" w:rsidRPr="006D5439" w:rsidRDefault="00E56AC1" w:rsidP="00E56AC1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E56AC1" w:rsidRPr="00181E2A" w14:paraId="27CCB069" w14:textId="77777777" w:rsidTr="00E56AC1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3652A" w14:textId="2B19DCE0" w:rsidR="00E56AC1" w:rsidRPr="006D5439" w:rsidRDefault="0011196F" w:rsidP="00E56AC1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11196F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POŘÍZENÍ VÝTAHU DO OBJEKTU ŠKOLY</w:t>
            </w:r>
          </w:p>
        </w:tc>
      </w:tr>
      <w:tr w:rsidR="00E56AC1" w:rsidRPr="00181E2A" w14:paraId="72C45EDF" w14:textId="77777777" w:rsidTr="00E56AC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986FCD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60C7F" w14:textId="320BACC4" w:rsidR="00E56AC1" w:rsidRPr="00181E2A" w:rsidRDefault="0011196F" w:rsidP="00E56AC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11196F">
              <w:rPr>
                <w:rFonts w:eastAsia="Times New Roman" w:cs="Calibri"/>
                <w:lang w:eastAsia="cs-CZ"/>
              </w:rPr>
              <w:t>CN/38/CN/25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1A5C3F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1BD3F" w14:textId="208E0B98" w:rsidR="00E56AC1" w:rsidRPr="00181E2A" w:rsidRDefault="009219E9" w:rsidP="00E56AC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692/22/CN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CD5E3FE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985366" w14:textId="4ED60E49" w:rsidR="00E56AC1" w:rsidRPr="00181E2A" w:rsidRDefault="0011196F" w:rsidP="00E56AC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11196F">
              <w:rPr>
                <w:rFonts w:eastAsia="Times New Roman" w:cs="Calibri"/>
                <w:lang w:eastAsia="cs-CZ"/>
              </w:rPr>
              <w:t>P25V00000093</w:t>
            </w:r>
          </w:p>
        </w:tc>
      </w:tr>
      <w:tr w:rsidR="00E56AC1" w:rsidRPr="00181E2A" w14:paraId="2CFA0DAA" w14:textId="77777777" w:rsidTr="00E56AC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7883A6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F7437" w14:textId="2A5CA543" w:rsidR="0011196F" w:rsidRPr="00181E2A" w:rsidRDefault="00805DBC" w:rsidP="00E56AC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11196F" w:rsidRPr="0038705C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https://ezak.cnpk.cz/contract_display_11801.html</w:t>
              </w:r>
            </w:hyperlink>
          </w:p>
        </w:tc>
      </w:tr>
      <w:tr w:rsidR="00E56AC1" w:rsidRPr="00181E2A" w14:paraId="6C4179CC" w14:textId="77777777" w:rsidTr="00E56AC1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EB08A1" w14:textId="77777777" w:rsidR="00E56AC1" w:rsidRPr="00181E2A" w:rsidRDefault="00E56AC1" w:rsidP="00E56AC1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6C21C" w14:textId="279749C0" w:rsidR="00E56AC1" w:rsidRPr="00181E2A" w:rsidRDefault="00E6251B" w:rsidP="00E56AC1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1196F">
              <w:rPr>
                <w:rFonts w:eastAsia="Times New Roman" w:cs="Calibri"/>
                <w:lang w:eastAsia="cs-CZ"/>
              </w:rPr>
              <w:t>…</w:t>
            </w:r>
          </w:p>
        </w:tc>
      </w:tr>
      <w:tr w:rsidR="00E56AC1" w:rsidRPr="00181E2A" w14:paraId="27150CBC" w14:textId="77777777" w:rsidTr="00E56AC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E7B34E5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A8F03B" w14:textId="561EB0FC" w:rsidR="00E56AC1" w:rsidRPr="00181E2A" w:rsidRDefault="0011196F" w:rsidP="00E56AC1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11196F">
              <w:rPr>
                <w:rFonts w:eastAsia="Times New Roman" w:cs="Calibri"/>
                <w:lang w:eastAsia="cs-CZ"/>
              </w:rPr>
              <w:t>Střední zdravotnická škola a Vyšší odborná škola zdravotnická, Plzeň, Karlovarská 99</w:t>
            </w:r>
          </w:p>
        </w:tc>
      </w:tr>
      <w:tr w:rsidR="00E56AC1" w:rsidRPr="00181E2A" w14:paraId="2F912BB2" w14:textId="77777777" w:rsidTr="00E56AC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96412A" w14:textId="77777777" w:rsidR="00E56AC1" w:rsidRPr="00181E2A" w:rsidRDefault="00E56AC1" w:rsidP="00E56AC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4EE34A" w14:textId="67576EDF" w:rsidR="00E56AC1" w:rsidRPr="00491767" w:rsidRDefault="0011196F" w:rsidP="00E56AC1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11196F">
              <w:rPr>
                <w:rFonts w:eastAsia="Times New Roman" w:cs="Calibri"/>
                <w:lang w:eastAsia="cs-CZ"/>
              </w:rPr>
              <w:t>Karlovarská 99, Plzeň, 323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572719D" w14:textId="77777777" w:rsidR="00E56AC1" w:rsidRPr="00181E2A" w:rsidRDefault="00E56AC1" w:rsidP="00E56AC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7D64CF" w14:textId="3AB9AD5D" w:rsidR="00E56AC1" w:rsidRPr="00491767" w:rsidRDefault="0011196F" w:rsidP="00E56AC1">
            <w:pPr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11196F">
              <w:rPr>
                <w:rFonts w:eastAsia="Times New Roman" w:cs="Calibri"/>
                <w:lang w:eastAsia="cs-CZ"/>
              </w:rPr>
              <w:t>00669695</w:t>
            </w:r>
          </w:p>
        </w:tc>
      </w:tr>
      <w:tr w:rsidR="0011196F" w:rsidRPr="00181E2A" w14:paraId="79EA56FF" w14:textId="77777777" w:rsidTr="0011196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F4624FA" w14:textId="77777777" w:rsidR="0011196F" w:rsidRPr="00181E2A" w:rsidRDefault="0011196F" w:rsidP="0011196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1057870" w14:textId="52452972" w:rsidR="0011196F" w:rsidRPr="00491767" w:rsidRDefault="0011196F" w:rsidP="0011196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 w:rsidRPr="00C10E18">
              <w:t>PhDr. Ivana Křížová - ředitel</w:t>
            </w:r>
          </w:p>
        </w:tc>
      </w:tr>
      <w:tr w:rsidR="0011196F" w:rsidRPr="00181E2A" w14:paraId="1A4F2F0D" w14:textId="77777777" w:rsidTr="0011196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E186DA6" w14:textId="77777777" w:rsidR="0011196F" w:rsidRPr="00181E2A" w:rsidRDefault="0011196F" w:rsidP="0011196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A333A44" w14:textId="24FFB36B" w:rsidR="0011196F" w:rsidRPr="00491767" w:rsidRDefault="0011196F" w:rsidP="0011196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red"/>
                <w:lang w:eastAsia="cs-CZ"/>
              </w:rPr>
            </w:pPr>
            <w:r w:rsidRPr="00C10E18">
              <w:t>Ing. Pavla Tesařová</w:t>
            </w:r>
          </w:p>
        </w:tc>
      </w:tr>
      <w:tr w:rsidR="00E56AC1" w:rsidRPr="00181E2A" w14:paraId="3DC49854" w14:textId="77777777" w:rsidTr="00E56AC1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ACCD25F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AF7FBF" w14:textId="77777777" w:rsidR="00E56AC1" w:rsidRPr="00181E2A" w:rsidRDefault="00E56AC1" w:rsidP="00E56AC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E56AC1" w:rsidRPr="00181E2A" w14:paraId="23C197A4" w14:textId="77777777" w:rsidTr="00E56AC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A14B578" w14:textId="77777777" w:rsidR="00E56AC1" w:rsidRPr="00181E2A" w:rsidRDefault="00E56AC1" w:rsidP="00E56AC1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828619" w14:textId="77777777" w:rsidR="00E56AC1" w:rsidRPr="005E6D54" w:rsidRDefault="00E56AC1" w:rsidP="00E56AC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5F4E30" w14:textId="77777777" w:rsidR="00E56AC1" w:rsidRPr="00181E2A" w:rsidRDefault="00E56AC1" w:rsidP="00E56AC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4770DC" w14:textId="77777777" w:rsidR="00E56AC1" w:rsidRPr="005E6D54" w:rsidRDefault="00E56AC1" w:rsidP="00E56AC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E56AC1" w:rsidRPr="00181E2A" w14:paraId="1119979F" w14:textId="77777777" w:rsidTr="00E56AC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4E341BF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5E2E0E" w14:textId="77777777" w:rsidR="00E56AC1" w:rsidRPr="005E6D54" w:rsidRDefault="00E56AC1" w:rsidP="00E56AC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E56AC1" w:rsidRPr="00181E2A" w14:paraId="15215165" w14:textId="77777777" w:rsidTr="00E56AC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DDA5BA5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FA9B36" w14:textId="0106F979" w:rsidR="00E56AC1" w:rsidRPr="00491767" w:rsidRDefault="0011196F" w:rsidP="00E56AC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11196F">
              <w:rPr>
                <w:rFonts w:eastAsia="Times New Roman" w:cs="Calibri"/>
                <w:lang w:eastAsia="cs-CZ"/>
              </w:rPr>
              <w:t>Bc. Ladislav Pešička</w:t>
            </w:r>
          </w:p>
        </w:tc>
      </w:tr>
      <w:tr w:rsidR="00E56AC1" w:rsidRPr="00181E2A" w14:paraId="3FFCB3B6" w14:textId="77777777" w:rsidTr="00E56AC1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A3C3CF3" w14:textId="77777777" w:rsidR="00E56AC1" w:rsidRPr="00931477" w:rsidRDefault="00E56AC1" w:rsidP="00E56AC1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FB0507" w14:textId="458E32BD" w:rsidR="00E56AC1" w:rsidRPr="004D5B05" w:rsidRDefault="0011196F" w:rsidP="00E56AC1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r w:rsidRPr="0011196F">
              <w:rPr>
                <w:rFonts w:eastAsia="Times New Roman" w:cs="Calibri"/>
                <w:lang w:eastAsia="cs-CZ"/>
              </w:rPr>
              <w:t>ladislav.pesicka@cnpk.cz</w:t>
            </w:r>
          </w:p>
        </w:tc>
      </w:tr>
      <w:tr w:rsidR="00E56AC1" w:rsidRPr="00181E2A" w14:paraId="1B425D37" w14:textId="77777777" w:rsidTr="00E56AC1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C87229C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79E2D" w14:textId="7C0C8C94" w:rsidR="00E56AC1" w:rsidRPr="00181E2A" w:rsidRDefault="00E71864" w:rsidP="0011196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11196F">
              <w:rPr>
                <w:rFonts w:eastAsia="Times New Roman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18C0695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53AA1" w14:textId="40376464" w:rsidR="00E56AC1" w:rsidRPr="00181E2A" w:rsidRDefault="00E71864" w:rsidP="00E56AC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E71864">
              <w:rPr>
                <w:rFonts w:eastAsia="Times New Roman" w:cs="Calibri"/>
                <w:lang w:eastAsia="cs-CZ"/>
              </w:rPr>
              <w:t>Podlimitní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C06E450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71C940" w14:textId="67B59D6C" w:rsidR="00E56AC1" w:rsidRPr="00181E2A" w:rsidRDefault="00E71864" w:rsidP="00E56AC1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 w:rsidRPr="005E5BA0">
              <w:rPr>
                <w:rFonts w:eastAsia="Times New Roman" w:cs="Calibri"/>
                <w:lang w:eastAsia="cs-CZ"/>
              </w:rPr>
              <w:t>ZPŘ</w:t>
            </w:r>
          </w:p>
        </w:tc>
      </w:tr>
      <w:tr w:rsidR="00E56AC1" w:rsidRPr="00181E2A" w14:paraId="6CB87EBA" w14:textId="77777777" w:rsidTr="00E56AC1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BFECCF6" w14:textId="77777777" w:rsidR="00E56AC1" w:rsidRPr="00181E2A" w:rsidRDefault="00E56AC1" w:rsidP="00E56AC1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9EC3B" w14:textId="47E6CB28" w:rsidR="00E56AC1" w:rsidRPr="00181E2A" w:rsidRDefault="0011196F" w:rsidP="00E56AC1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NE</w:t>
            </w:r>
          </w:p>
        </w:tc>
      </w:tr>
    </w:tbl>
    <w:p w14:paraId="682C80E2" w14:textId="77777777" w:rsidR="006C3015" w:rsidRDefault="006C3015" w:rsidP="006C3015">
      <w:pPr>
        <w:rPr>
          <w:rFonts w:eastAsia="Times New Roman" w:cs="Calibri"/>
          <w:b/>
          <w:lang w:eastAsia="cs-CZ"/>
        </w:rPr>
      </w:pPr>
    </w:p>
    <w:p w14:paraId="2E40DBF7" w14:textId="77777777" w:rsidR="004E0BD3" w:rsidRDefault="004E0BD3" w:rsidP="004E0BD3">
      <w:pPr>
        <w:spacing w:before="120"/>
        <w:jc w:val="center"/>
      </w:pPr>
    </w:p>
    <w:p w14:paraId="784E7AC2" w14:textId="6E80DD5D" w:rsidR="004E0BD3" w:rsidRDefault="004E0BD3" w:rsidP="0045331A">
      <w:pPr>
        <w:jc w:val="center"/>
      </w:pPr>
      <w:r w:rsidRPr="0045331A">
        <w:t>Tato Zadávací dokumentace je zároveň Výzvou</w:t>
      </w:r>
      <w:r w:rsidR="002709AD">
        <w:t xml:space="preserve"> k podání nabídek</w:t>
      </w:r>
      <w:r w:rsidRPr="0045331A">
        <w:t xml:space="preserve"> podle § 53 zákona č. 134/2016 Sb</w:t>
      </w:r>
      <w:r w:rsidR="00B033F8">
        <w:t>., o zadávání veřejných zakázek (</w:t>
      </w:r>
      <w:r w:rsidR="00461AEE">
        <w:t>dále „</w:t>
      </w:r>
      <w:r w:rsidR="00B033F8">
        <w:t>ZZVZ</w:t>
      </w:r>
      <w:r w:rsidR="00461AEE">
        <w:t>“</w:t>
      </w:r>
      <w:r w:rsidR="00B033F8">
        <w:t>)</w:t>
      </w:r>
      <w:r w:rsidRPr="0045331A">
        <w:t>.</w:t>
      </w:r>
    </w:p>
    <w:p w14:paraId="6A2E5D6B" w14:textId="0D0AB9FE" w:rsidR="000A3F34" w:rsidRDefault="000A3F34" w:rsidP="0045331A">
      <w:pPr>
        <w:jc w:val="center"/>
      </w:pPr>
      <w:r>
        <w:t>Zadávací dokumentace</w:t>
      </w:r>
      <w:r w:rsidR="005B734B">
        <w:t xml:space="preserve"> </w:t>
      </w:r>
      <w:r w:rsidR="006779E9">
        <w:t xml:space="preserve">a její přílohy </w:t>
      </w:r>
      <w:r w:rsidR="00461AEE">
        <w:t xml:space="preserve">(dále „ZD“) </w:t>
      </w:r>
      <w:r w:rsidR="006779E9">
        <w:t>obsahují</w:t>
      </w:r>
      <w:r>
        <w:t xml:space="preserve"> informace o veřejné zakázce</w:t>
      </w:r>
      <w:r w:rsidR="006779E9">
        <w:t xml:space="preserve"> potřebné k podání nabídky</w:t>
      </w:r>
      <w:r>
        <w:t xml:space="preserve">. </w:t>
      </w:r>
    </w:p>
    <w:p w14:paraId="01669E45" w14:textId="6BCA37B8" w:rsidR="00C3483A" w:rsidRPr="0045331A" w:rsidRDefault="00C3483A" w:rsidP="0045331A">
      <w:pPr>
        <w:jc w:val="center"/>
      </w:pPr>
      <w:r>
        <w:t>Součástí tohoto dokumentu jsou „</w:t>
      </w:r>
      <w:hyperlink w:anchor="_ZADAVATELSKÉ_PODMÍNKY" w:history="1">
        <w:r w:rsidR="00D60E0C">
          <w:rPr>
            <w:rStyle w:val="Hypertextovodkaz"/>
          </w:rPr>
          <w:t>Obecné podmínk</w:t>
        </w:r>
        <w:r w:rsidR="009A66B6">
          <w:rPr>
            <w:rStyle w:val="Hypertextovodkaz"/>
          </w:rPr>
          <w:t>y</w:t>
        </w:r>
        <w:r w:rsidR="00D60E0C">
          <w:rPr>
            <w:rStyle w:val="Hypertextovodkaz"/>
          </w:rPr>
          <w:t xml:space="preserve"> zadávacího řízení</w:t>
        </w:r>
      </w:hyperlink>
      <w:r>
        <w:t>“</w:t>
      </w:r>
      <w:r w:rsidR="002C5F82">
        <w:t xml:space="preserve">, které obsahují </w:t>
      </w:r>
      <w:r w:rsidR="000A3F34">
        <w:t>obecné informace k postupům v</w:t>
      </w:r>
      <w:r w:rsidR="005E5BA0">
        <w:t>e</w:t>
      </w:r>
      <w:r w:rsidR="000A3F34">
        <w:t> </w:t>
      </w:r>
      <w:r w:rsidR="005E5BA0">
        <w:t>zjednodušením podlimitním</w:t>
      </w:r>
      <w:r w:rsidR="000A3F34">
        <w:t xml:space="preserve"> řízení.</w:t>
      </w:r>
    </w:p>
    <w:p w14:paraId="75C85DA2" w14:textId="77858119" w:rsidR="004E0BD3" w:rsidRDefault="004E0BD3" w:rsidP="003B7799">
      <w:pPr>
        <w:jc w:val="center"/>
        <w:rPr>
          <w:rFonts w:cs="Calibri"/>
          <w:color w:val="000000"/>
        </w:rPr>
      </w:pPr>
      <w:r w:rsidRPr="003B7799">
        <w:rPr>
          <w:rFonts w:cs="Calibri"/>
          <w:color w:val="000000"/>
        </w:rPr>
        <w:t>Veřejná zakázka je financována z</w:t>
      </w:r>
      <w:r w:rsidR="003E73E5">
        <w:rPr>
          <w:rFonts w:cs="Calibri"/>
          <w:color w:val="000000"/>
        </w:rPr>
        <w:t> rozpočtu zadavatele.</w:t>
      </w:r>
    </w:p>
    <w:p w14:paraId="5BCFCB1C" w14:textId="77777777" w:rsidR="0045331A" w:rsidRDefault="0045331A" w:rsidP="003B7799">
      <w:pPr>
        <w:jc w:val="center"/>
        <w:rPr>
          <w:rFonts w:cs="Calibri"/>
          <w:color w:val="000000"/>
        </w:rPr>
      </w:pPr>
    </w:p>
    <w:p w14:paraId="4DAFE589" w14:textId="77777777" w:rsidR="0045331A" w:rsidRPr="003B7799" w:rsidRDefault="0045331A" w:rsidP="003B7799">
      <w:pPr>
        <w:jc w:val="center"/>
        <w:rPr>
          <w:rFonts w:cs="Calibri"/>
          <w:b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5001"/>
      </w:tblGrid>
      <w:tr w:rsidR="004E0BD3" w:rsidRPr="00830465" w14:paraId="0D6CF9B4" w14:textId="77777777" w:rsidTr="001530E5">
        <w:trPr>
          <w:trHeight w:val="521"/>
          <w:jc w:val="center"/>
        </w:trPr>
        <w:tc>
          <w:tcPr>
            <w:tcW w:w="4923" w:type="dxa"/>
            <w:shd w:val="clear" w:color="auto" w:fill="D9D9D9"/>
            <w:vAlign w:val="center"/>
          </w:tcPr>
          <w:p w14:paraId="22BD051E" w14:textId="77777777" w:rsidR="004E0BD3" w:rsidRPr="00830465" w:rsidRDefault="004E0BD3" w:rsidP="00563455">
            <w:pPr>
              <w:spacing w:after="0"/>
              <w:jc w:val="center"/>
              <w:rPr>
                <w:rFonts w:cs="Calibri"/>
                <w:b/>
                <w:sz w:val="48"/>
                <w:szCs w:val="48"/>
              </w:rPr>
            </w:pPr>
            <w:r w:rsidRPr="00830465">
              <w:rPr>
                <w:rFonts w:cs="Calibri"/>
                <w:b/>
                <w:sz w:val="24"/>
              </w:rPr>
              <w:t>LHŮTA PRO PODÁNÍ NABÍDEK:</w:t>
            </w:r>
          </w:p>
        </w:tc>
        <w:tc>
          <w:tcPr>
            <w:tcW w:w="5001" w:type="dxa"/>
            <w:shd w:val="clear" w:color="auto" w:fill="FBE4D5" w:themeFill="accent2" w:themeFillTint="33"/>
            <w:vAlign w:val="center"/>
          </w:tcPr>
          <w:p w14:paraId="487A0DB7" w14:textId="109A56D5" w:rsidR="004E0BD3" w:rsidRPr="004E0BD3" w:rsidRDefault="00152C2E" w:rsidP="00152C2E">
            <w:pPr>
              <w:spacing w:after="0"/>
              <w:jc w:val="center"/>
              <w:rPr>
                <w:rFonts w:cs="Calibri"/>
                <w:b/>
                <w:sz w:val="24"/>
                <w:szCs w:val="24"/>
                <w:highlight w:val="green"/>
                <w:u w:val="single"/>
              </w:rPr>
            </w:pPr>
            <w:r>
              <w:rPr>
                <w:rFonts w:cs="Calibri"/>
                <w:b/>
                <w:sz w:val="24"/>
                <w:szCs w:val="24"/>
                <w:u w:val="single"/>
              </w:rPr>
              <w:t>1</w:t>
            </w:r>
            <w:r w:rsidRPr="00152C2E">
              <w:rPr>
                <w:rFonts w:cs="Calibri"/>
                <w:b/>
                <w:sz w:val="24"/>
                <w:szCs w:val="24"/>
                <w:u w:val="single"/>
              </w:rPr>
              <w:t>. 4. 2025</w:t>
            </w:r>
            <w:r w:rsidR="004E0BD3" w:rsidRPr="00152C2E">
              <w:rPr>
                <w:rFonts w:cs="Calibri"/>
                <w:b/>
                <w:sz w:val="24"/>
                <w:szCs w:val="24"/>
                <w:u w:val="single"/>
              </w:rPr>
              <w:t xml:space="preserve"> do</w:t>
            </w:r>
            <w:r w:rsidRPr="00152C2E">
              <w:rPr>
                <w:rFonts w:cs="Calibri"/>
                <w:b/>
                <w:sz w:val="24"/>
                <w:szCs w:val="24"/>
                <w:u w:val="single"/>
              </w:rPr>
              <w:t xml:space="preserve"> 10:00</w:t>
            </w:r>
            <w:r w:rsidR="004E0BD3" w:rsidRPr="00152C2E">
              <w:rPr>
                <w:rFonts w:cs="Calibri"/>
                <w:b/>
                <w:sz w:val="24"/>
                <w:szCs w:val="24"/>
                <w:u w:val="single"/>
              </w:rPr>
              <w:t xml:space="preserve"> hod.</w:t>
            </w:r>
          </w:p>
        </w:tc>
      </w:tr>
    </w:tbl>
    <w:p w14:paraId="29FE28E1" w14:textId="77777777" w:rsidR="002C2E16" w:rsidRDefault="002C2E16" w:rsidP="002C2E16">
      <w:pPr>
        <w:pStyle w:val="Obsah1"/>
      </w:pPr>
    </w:p>
    <w:p w14:paraId="294922B0" w14:textId="77777777" w:rsidR="002C2E16" w:rsidRDefault="002C2E16">
      <w:pPr>
        <w:spacing w:after="160" w:line="259" w:lineRule="auto"/>
        <w:jc w:val="left"/>
        <w:rPr>
          <w:rFonts w:eastAsiaTheme="majorEastAsia" w:cs="Calibri"/>
          <w:b/>
          <w:noProof/>
          <w:color w:val="000000" w:themeColor="text1"/>
          <w:sz w:val="20"/>
          <w:szCs w:val="20"/>
          <w:lang w:eastAsia="cs-CZ"/>
        </w:rPr>
      </w:pPr>
      <w:r>
        <w:br w:type="page"/>
      </w:r>
    </w:p>
    <w:p w14:paraId="1A7D62F9" w14:textId="57C6CD8A" w:rsidR="00B97301" w:rsidRPr="006B1CD3" w:rsidRDefault="00B97301" w:rsidP="002C2E16">
      <w:pPr>
        <w:pStyle w:val="Obsah1"/>
      </w:pPr>
      <w:r w:rsidRPr="006B1CD3">
        <w:lastRenderedPageBreak/>
        <w:t>Obsah</w:t>
      </w:r>
    </w:p>
    <w:p w14:paraId="3995D711" w14:textId="77777777" w:rsidR="00BB66EE" w:rsidRDefault="006B1CD3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rPr>
          <w:i/>
        </w:rPr>
        <w:fldChar w:fldCharType="begin"/>
      </w:r>
      <w:r>
        <w:rPr>
          <w:i/>
        </w:rPr>
        <w:instrText xml:space="preserve"> TOC \o "1-2" \u </w:instrText>
      </w:r>
      <w:r>
        <w:rPr>
          <w:i/>
        </w:rPr>
        <w:fldChar w:fldCharType="separate"/>
      </w:r>
      <w:bookmarkStart w:id="1" w:name="_ADMINISTRÁTOR_1"/>
      <w:bookmarkEnd w:id="1"/>
      <w:r w:rsidR="00BB66EE">
        <w:t>1</w:t>
      </w:r>
      <w:r w:rsidR="00BB66EE"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 w:rsidR="00BB66EE">
        <w:t>ADMINISTRÁTOR</w:t>
      </w:r>
      <w:r w:rsidR="00BB66EE">
        <w:tab/>
      </w:r>
      <w:r w:rsidR="00BB66EE">
        <w:fldChar w:fldCharType="begin"/>
      </w:r>
      <w:r w:rsidR="00BB66EE">
        <w:instrText xml:space="preserve"> PAGEREF _Toc155796873 \h </w:instrText>
      </w:r>
      <w:r w:rsidR="00BB66EE">
        <w:fldChar w:fldCharType="separate"/>
      </w:r>
      <w:r w:rsidR="0041349C">
        <w:t>3</w:t>
      </w:r>
      <w:r w:rsidR="00BB66EE">
        <w:fldChar w:fldCharType="end"/>
      </w:r>
    </w:p>
    <w:p w14:paraId="44687600" w14:textId="77777777" w:rsidR="00BB66EE" w:rsidRDefault="00BB66EE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VEŘEJNÁ ZAKÁZKA</w:t>
      </w:r>
      <w:r>
        <w:tab/>
      </w:r>
      <w:r>
        <w:fldChar w:fldCharType="begin"/>
      </w:r>
      <w:r>
        <w:instrText xml:space="preserve"> PAGEREF _Toc155796874 \h </w:instrText>
      </w:r>
      <w:r>
        <w:fldChar w:fldCharType="separate"/>
      </w:r>
      <w:r w:rsidR="0041349C">
        <w:t>3</w:t>
      </w:r>
      <w:r>
        <w:fldChar w:fldCharType="end"/>
      </w:r>
    </w:p>
    <w:p w14:paraId="7683BB22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2.1</w:t>
      </w:r>
      <w:r>
        <w:rPr>
          <w:rFonts w:asciiTheme="minorHAnsi" w:eastAsiaTheme="minorEastAsia" w:hAnsiTheme="minorHAnsi"/>
          <w:lang w:eastAsia="cs-CZ"/>
        </w:rPr>
        <w:tab/>
      </w:r>
      <w:r>
        <w:t>Předmět veřejné zakázky</w:t>
      </w:r>
      <w:r>
        <w:tab/>
      </w:r>
      <w:r>
        <w:fldChar w:fldCharType="begin"/>
      </w:r>
      <w:r>
        <w:instrText xml:space="preserve"> PAGEREF _Toc155796875 \h </w:instrText>
      </w:r>
      <w:r>
        <w:fldChar w:fldCharType="separate"/>
      </w:r>
      <w:r w:rsidR="0041349C">
        <w:t>3</w:t>
      </w:r>
      <w:r>
        <w:fldChar w:fldCharType="end"/>
      </w:r>
    </w:p>
    <w:p w14:paraId="36AEFF16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2.2</w:t>
      </w:r>
      <w:r>
        <w:rPr>
          <w:rFonts w:asciiTheme="minorHAnsi" w:eastAsiaTheme="minorEastAsia" w:hAnsiTheme="minorHAnsi"/>
          <w:lang w:eastAsia="cs-CZ"/>
        </w:rPr>
        <w:tab/>
      </w:r>
      <w:r>
        <w:t>CPV kódy</w:t>
      </w:r>
      <w:r>
        <w:tab/>
      </w:r>
      <w:r>
        <w:fldChar w:fldCharType="begin"/>
      </w:r>
      <w:r>
        <w:instrText xml:space="preserve"> PAGEREF _Toc155796876 \h </w:instrText>
      </w:r>
      <w:r>
        <w:fldChar w:fldCharType="separate"/>
      </w:r>
      <w:r w:rsidR="0041349C">
        <w:t>3</w:t>
      </w:r>
      <w:r>
        <w:fldChar w:fldCharType="end"/>
      </w:r>
    </w:p>
    <w:p w14:paraId="727CD305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2.3</w:t>
      </w:r>
      <w:r>
        <w:rPr>
          <w:rFonts w:asciiTheme="minorHAnsi" w:eastAsiaTheme="minorEastAsia" w:hAnsiTheme="minorHAnsi"/>
          <w:lang w:eastAsia="cs-CZ"/>
        </w:rPr>
        <w:tab/>
      </w:r>
      <w:r>
        <w:t>Předpokládaná hodnota</w:t>
      </w:r>
      <w:r>
        <w:tab/>
      </w:r>
      <w:r>
        <w:fldChar w:fldCharType="begin"/>
      </w:r>
      <w:r>
        <w:instrText xml:space="preserve"> PAGEREF _Toc155796877 \h </w:instrText>
      </w:r>
      <w:r>
        <w:fldChar w:fldCharType="separate"/>
      </w:r>
      <w:r w:rsidR="0041349C">
        <w:t>4</w:t>
      </w:r>
      <w:r>
        <w:fldChar w:fldCharType="end"/>
      </w:r>
    </w:p>
    <w:p w14:paraId="39B85377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2.4</w:t>
      </w:r>
      <w:r>
        <w:rPr>
          <w:rFonts w:asciiTheme="minorHAnsi" w:eastAsiaTheme="minorEastAsia" w:hAnsiTheme="minorHAnsi"/>
          <w:lang w:eastAsia="cs-CZ"/>
        </w:rPr>
        <w:tab/>
      </w:r>
      <w:r>
        <w:t>Termín a místo plnění veřejné zakázky</w:t>
      </w:r>
      <w:r>
        <w:tab/>
      </w:r>
      <w:r>
        <w:fldChar w:fldCharType="begin"/>
      </w:r>
      <w:r>
        <w:instrText xml:space="preserve"> PAGEREF _Toc155796878 \h </w:instrText>
      </w:r>
      <w:r>
        <w:fldChar w:fldCharType="separate"/>
      </w:r>
      <w:r w:rsidR="0041349C">
        <w:t>4</w:t>
      </w:r>
      <w:r>
        <w:fldChar w:fldCharType="end"/>
      </w:r>
    </w:p>
    <w:p w14:paraId="6F66BE64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2.5</w:t>
      </w:r>
      <w:r>
        <w:rPr>
          <w:rFonts w:asciiTheme="minorHAnsi" w:eastAsiaTheme="minorEastAsia" w:hAnsiTheme="minorHAnsi"/>
          <w:lang w:eastAsia="cs-CZ"/>
        </w:rPr>
        <w:tab/>
      </w:r>
      <w:r>
        <w:t>Odpovědné veřejné zadávání (OVZ)</w:t>
      </w:r>
      <w:r>
        <w:tab/>
      </w:r>
      <w:r>
        <w:fldChar w:fldCharType="begin"/>
      </w:r>
      <w:r>
        <w:instrText xml:space="preserve"> PAGEREF _Toc155796879 \h </w:instrText>
      </w:r>
      <w:r>
        <w:fldChar w:fldCharType="separate"/>
      </w:r>
      <w:r w:rsidR="0041349C">
        <w:t>4</w:t>
      </w:r>
      <w:r>
        <w:fldChar w:fldCharType="end"/>
      </w:r>
    </w:p>
    <w:p w14:paraId="53A2EB14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2.6</w:t>
      </w:r>
      <w:r>
        <w:rPr>
          <w:rFonts w:asciiTheme="minorHAnsi" w:eastAsiaTheme="minorEastAsia" w:hAnsiTheme="minorHAnsi"/>
          <w:lang w:eastAsia="cs-CZ"/>
        </w:rPr>
        <w:tab/>
      </w:r>
      <w:r>
        <w:t>Vyhrazená změna závazku</w:t>
      </w:r>
      <w:r>
        <w:tab/>
      </w:r>
      <w:r>
        <w:fldChar w:fldCharType="begin"/>
      </w:r>
      <w:r>
        <w:instrText xml:space="preserve"> PAGEREF _Toc155796880 \h </w:instrText>
      </w:r>
      <w:r>
        <w:fldChar w:fldCharType="separate"/>
      </w:r>
      <w:r w:rsidR="0041349C">
        <w:t>4</w:t>
      </w:r>
      <w:r>
        <w:fldChar w:fldCharType="end"/>
      </w:r>
    </w:p>
    <w:p w14:paraId="2C2135B5" w14:textId="77777777" w:rsidR="00BB66EE" w:rsidRDefault="00BB66EE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KVALIFIKACE</w:t>
      </w:r>
      <w:r>
        <w:tab/>
      </w:r>
      <w:r>
        <w:fldChar w:fldCharType="begin"/>
      </w:r>
      <w:r>
        <w:instrText xml:space="preserve"> PAGEREF _Toc155796881 \h </w:instrText>
      </w:r>
      <w:r>
        <w:fldChar w:fldCharType="separate"/>
      </w:r>
      <w:r w:rsidR="0041349C">
        <w:t>4</w:t>
      </w:r>
      <w:r>
        <w:fldChar w:fldCharType="end"/>
      </w:r>
    </w:p>
    <w:p w14:paraId="1116399F" w14:textId="77777777" w:rsidR="00BB66EE" w:rsidRDefault="00BB66EE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4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OBCHODNÍ PODMÍNKY</w:t>
      </w:r>
      <w:r>
        <w:tab/>
      </w:r>
      <w:r>
        <w:fldChar w:fldCharType="begin"/>
      </w:r>
      <w:r>
        <w:instrText xml:space="preserve"> PAGEREF _Toc155796882 \h </w:instrText>
      </w:r>
      <w:r>
        <w:fldChar w:fldCharType="separate"/>
      </w:r>
      <w:r w:rsidR="0041349C">
        <w:t>5</w:t>
      </w:r>
      <w:r>
        <w:fldChar w:fldCharType="end"/>
      </w:r>
    </w:p>
    <w:p w14:paraId="1CAD4C93" w14:textId="77777777" w:rsidR="00BB66EE" w:rsidRDefault="00BB66EE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5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DALŠÍ PODMÍNKY ZADÁVACÍHO ŘÍZENÍ</w:t>
      </w:r>
      <w:r>
        <w:tab/>
      </w:r>
      <w:r>
        <w:fldChar w:fldCharType="begin"/>
      </w:r>
      <w:r>
        <w:instrText xml:space="preserve"> PAGEREF _Toc155796883 \h </w:instrText>
      </w:r>
      <w:r>
        <w:fldChar w:fldCharType="separate"/>
      </w:r>
      <w:r w:rsidR="0041349C">
        <w:t>5</w:t>
      </w:r>
      <w:r>
        <w:fldChar w:fldCharType="end"/>
      </w:r>
    </w:p>
    <w:p w14:paraId="3F5F65A4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5.1</w:t>
      </w:r>
      <w:r>
        <w:rPr>
          <w:rFonts w:asciiTheme="minorHAnsi" w:eastAsiaTheme="minorEastAsia" w:hAnsiTheme="minorHAnsi"/>
          <w:lang w:eastAsia="cs-CZ"/>
        </w:rPr>
        <w:tab/>
      </w:r>
      <w:r>
        <w:t>Jistota</w:t>
      </w:r>
      <w:r>
        <w:tab/>
      </w:r>
      <w:r>
        <w:fldChar w:fldCharType="begin"/>
      </w:r>
      <w:r>
        <w:instrText xml:space="preserve"> PAGEREF _Toc155796884 \h </w:instrText>
      </w:r>
      <w:r>
        <w:fldChar w:fldCharType="separate"/>
      </w:r>
      <w:r w:rsidR="0041349C">
        <w:t>5</w:t>
      </w:r>
      <w:r>
        <w:fldChar w:fldCharType="end"/>
      </w:r>
    </w:p>
    <w:p w14:paraId="49CB0DEF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5.2</w:t>
      </w:r>
      <w:r>
        <w:rPr>
          <w:rFonts w:asciiTheme="minorHAnsi" w:eastAsiaTheme="minorEastAsia" w:hAnsiTheme="minorHAnsi"/>
          <w:lang w:eastAsia="cs-CZ"/>
        </w:rPr>
        <w:tab/>
      </w:r>
      <w:r>
        <w:t>Zadávací lhůta</w:t>
      </w:r>
      <w:r>
        <w:tab/>
      </w:r>
      <w:r>
        <w:fldChar w:fldCharType="begin"/>
      </w:r>
      <w:r>
        <w:instrText xml:space="preserve"> PAGEREF _Toc155796885 \h </w:instrText>
      </w:r>
      <w:r>
        <w:fldChar w:fldCharType="separate"/>
      </w:r>
      <w:r w:rsidR="0041349C">
        <w:t>5</w:t>
      </w:r>
      <w:r>
        <w:fldChar w:fldCharType="end"/>
      </w:r>
    </w:p>
    <w:p w14:paraId="0DE25CFF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5.3</w:t>
      </w:r>
      <w:r>
        <w:rPr>
          <w:rFonts w:asciiTheme="minorHAnsi" w:eastAsiaTheme="minorEastAsia" w:hAnsiTheme="minorHAnsi"/>
          <w:lang w:eastAsia="cs-CZ"/>
        </w:rPr>
        <w:tab/>
      </w:r>
      <w:r>
        <w:t>Prohlídka místa plnění</w:t>
      </w:r>
      <w:r>
        <w:tab/>
      </w:r>
      <w:r>
        <w:fldChar w:fldCharType="begin"/>
      </w:r>
      <w:r>
        <w:instrText xml:space="preserve"> PAGEREF _Toc155796886 \h </w:instrText>
      </w:r>
      <w:r>
        <w:fldChar w:fldCharType="separate"/>
      </w:r>
      <w:r w:rsidR="0041349C">
        <w:t>5</w:t>
      </w:r>
      <w:r>
        <w:fldChar w:fldCharType="end"/>
      </w:r>
    </w:p>
    <w:p w14:paraId="40166DF1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5.4</w:t>
      </w:r>
      <w:r>
        <w:rPr>
          <w:rFonts w:asciiTheme="minorHAnsi" w:eastAsiaTheme="minorEastAsia" w:hAnsiTheme="minorHAnsi"/>
          <w:lang w:eastAsia="cs-CZ"/>
        </w:rPr>
        <w:tab/>
      </w:r>
      <w:r>
        <w:t>Pojištění</w:t>
      </w:r>
      <w:r>
        <w:tab/>
      </w:r>
      <w:r>
        <w:fldChar w:fldCharType="begin"/>
      </w:r>
      <w:r>
        <w:instrText xml:space="preserve"> PAGEREF _Toc155796887 \h </w:instrText>
      </w:r>
      <w:r>
        <w:fldChar w:fldCharType="separate"/>
      </w:r>
      <w:r w:rsidR="0041349C">
        <w:t>5</w:t>
      </w:r>
      <w:r>
        <w:fldChar w:fldCharType="end"/>
      </w:r>
    </w:p>
    <w:p w14:paraId="37847F15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5.5</w:t>
      </w:r>
      <w:r>
        <w:rPr>
          <w:rFonts w:asciiTheme="minorHAnsi" w:eastAsiaTheme="minorEastAsia" w:hAnsiTheme="minorHAnsi"/>
          <w:lang w:eastAsia="cs-CZ"/>
        </w:rPr>
        <w:tab/>
      </w:r>
      <w:r>
        <w:t>Vzorek</w:t>
      </w:r>
      <w:r>
        <w:tab/>
      </w:r>
      <w:r>
        <w:fldChar w:fldCharType="begin"/>
      </w:r>
      <w:r>
        <w:instrText xml:space="preserve"> PAGEREF _Toc155796888 \h </w:instrText>
      </w:r>
      <w:r>
        <w:fldChar w:fldCharType="separate"/>
      </w:r>
      <w:r w:rsidR="0041349C">
        <w:t>5</w:t>
      </w:r>
      <w:r>
        <w:fldChar w:fldCharType="end"/>
      </w:r>
    </w:p>
    <w:p w14:paraId="710C1BDF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5.6</w:t>
      </w:r>
      <w:r>
        <w:rPr>
          <w:rFonts w:asciiTheme="minorHAnsi" w:eastAsiaTheme="minorEastAsia" w:hAnsiTheme="minorHAnsi"/>
          <w:lang w:eastAsia="cs-CZ"/>
        </w:rPr>
        <w:tab/>
      </w:r>
      <w:r>
        <w:t>Dotazník</w:t>
      </w:r>
      <w:r>
        <w:tab/>
      </w:r>
      <w:r>
        <w:fldChar w:fldCharType="begin"/>
      </w:r>
      <w:r>
        <w:instrText xml:space="preserve"> PAGEREF _Toc155796889 \h </w:instrText>
      </w:r>
      <w:r>
        <w:fldChar w:fldCharType="separate"/>
      </w:r>
      <w:r w:rsidR="0041349C">
        <w:t>5</w:t>
      </w:r>
      <w:r>
        <w:fldChar w:fldCharType="end"/>
      </w:r>
    </w:p>
    <w:p w14:paraId="789632A5" w14:textId="77777777" w:rsidR="00BB66EE" w:rsidRDefault="00BB66EE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6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NABÍDKOVÁ CENA</w:t>
      </w:r>
      <w:r>
        <w:tab/>
      </w:r>
      <w:r>
        <w:fldChar w:fldCharType="begin"/>
      </w:r>
      <w:r>
        <w:instrText xml:space="preserve"> PAGEREF _Toc155796890 \h </w:instrText>
      </w:r>
      <w:r>
        <w:fldChar w:fldCharType="separate"/>
      </w:r>
      <w:r w:rsidR="0041349C">
        <w:t>5</w:t>
      </w:r>
      <w:r>
        <w:fldChar w:fldCharType="end"/>
      </w:r>
    </w:p>
    <w:p w14:paraId="3521CEDD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6.1</w:t>
      </w:r>
      <w:r>
        <w:rPr>
          <w:rFonts w:asciiTheme="minorHAnsi" w:eastAsiaTheme="minorEastAsia" w:hAnsiTheme="minorHAnsi"/>
          <w:lang w:eastAsia="cs-CZ"/>
        </w:rPr>
        <w:tab/>
      </w:r>
      <w:r>
        <w:t>Zpracování nabídkové ceny</w:t>
      </w:r>
      <w:r>
        <w:tab/>
      </w:r>
      <w:r>
        <w:fldChar w:fldCharType="begin"/>
      </w:r>
      <w:r>
        <w:instrText xml:space="preserve"> PAGEREF _Toc155796891 \h </w:instrText>
      </w:r>
      <w:r>
        <w:fldChar w:fldCharType="separate"/>
      </w:r>
      <w:r w:rsidR="0041349C">
        <w:t>5</w:t>
      </w:r>
      <w:r>
        <w:fldChar w:fldCharType="end"/>
      </w:r>
    </w:p>
    <w:p w14:paraId="6D09D5EA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6.2</w:t>
      </w:r>
      <w:r>
        <w:rPr>
          <w:rFonts w:asciiTheme="minorHAnsi" w:eastAsiaTheme="minorEastAsia" w:hAnsiTheme="minorHAnsi"/>
          <w:lang w:eastAsia="cs-CZ"/>
        </w:rPr>
        <w:tab/>
      </w:r>
      <w:r>
        <w:t>Limitace nabídkové ceny</w:t>
      </w:r>
      <w:r>
        <w:tab/>
      </w:r>
      <w:r>
        <w:fldChar w:fldCharType="begin"/>
      </w:r>
      <w:r>
        <w:instrText xml:space="preserve"> PAGEREF _Toc155796892 \h </w:instrText>
      </w:r>
      <w:r>
        <w:fldChar w:fldCharType="separate"/>
      </w:r>
      <w:r w:rsidR="0041349C">
        <w:t>6</w:t>
      </w:r>
      <w:r>
        <w:fldChar w:fldCharType="end"/>
      </w:r>
    </w:p>
    <w:p w14:paraId="2D6065D9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6.3</w:t>
      </w:r>
      <w:r>
        <w:rPr>
          <w:rFonts w:asciiTheme="minorHAnsi" w:eastAsiaTheme="minorEastAsia" w:hAnsiTheme="minorHAnsi"/>
          <w:lang w:eastAsia="cs-CZ"/>
        </w:rPr>
        <w:tab/>
      </w:r>
      <w:r>
        <w:t>Mimořádně nízká nabídková cena</w:t>
      </w:r>
      <w:r>
        <w:tab/>
      </w:r>
      <w:r>
        <w:fldChar w:fldCharType="begin"/>
      </w:r>
      <w:r>
        <w:instrText xml:space="preserve"> PAGEREF _Toc155796893 \h </w:instrText>
      </w:r>
      <w:r>
        <w:fldChar w:fldCharType="separate"/>
      </w:r>
      <w:r w:rsidR="0041349C">
        <w:t>6</w:t>
      </w:r>
      <w:r>
        <w:fldChar w:fldCharType="end"/>
      </w:r>
    </w:p>
    <w:p w14:paraId="663008C7" w14:textId="77777777" w:rsidR="00BB66EE" w:rsidRDefault="00BB66EE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7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HODNOCENÍ A POSOUZENÍ NABÍDEK</w:t>
      </w:r>
      <w:r>
        <w:tab/>
      </w:r>
      <w:r>
        <w:fldChar w:fldCharType="begin"/>
      </w:r>
      <w:r>
        <w:instrText xml:space="preserve"> PAGEREF _Toc155796894 \h </w:instrText>
      </w:r>
      <w:r>
        <w:fldChar w:fldCharType="separate"/>
      </w:r>
      <w:r w:rsidR="0041349C">
        <w:t>6</w:t>
      </w:r>
      <w:r>
        <w:fldChar w:fldCharType="end"/>
      </w:r>
    </w:p>
    <w:p w14:paraId="5BCD970E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7.1</w:t>
      </w:r>
      <w:r>
        <w:rPr>
          <w:rFonts w:asciiTheme="minorHAnsi" w:eastAsiaTheme="minorEastAsia" w:hAnsiTheme="minorHAnsi"/>
          <w:lang w:eastAsia="cs-CZ"/>
        </w:rPr>
        <w:tab/>
      </w:r>
      <w:r>
        <w:t>Hodnoticí kritérium</w:t>
      </w:r>
      <w:r>
        <w:tab/>
      </w:r>
      <w:r>
        <w:fldChar w:fldCharType="begin"/>
      </w:r>
      <w:r>
        <w:instrText xml:space="preserve"> PAGEREF _Toc155796895 \h </w:instrText>
      </w:r>
      <w:r>
        <w:fldChar w:fldCharType="separate"/>
      </w:r>
      <w:r w:rsidR="0041349C">
        <w:t>6</w:t>
      </w:r>
      <w:r>
        <w:fldChar w:fldCharType="end"/>
      </w:r>
    </w:p>
    <w:p w14:paraId="7928C8FA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7.2</w:t>
      </w:r>
      <w:r>
        <w:rPr>
          <w:rFonts w:asciiTheme="minorHAnsi" w:eastAsiaTheme="minorEastAsia" w:hAnsiTheme="minorHAnsi"/>
          <w:lang w:eastAsia="cs-CZ"/>
        </w:rPr>
        <w:tab/>
      </w:r>
      <w:r>
        <w:t>Způsob hodnocení nabídek</w:t>
      </w:r>
      <w:r>
        <w:tab/>
      </w:r>
      <w:r>
        <w:fldChar w:fldCharType="begin"/>
      </w:r>
      <w:r>
        <w:instrText xml:space="preserve"> PAGEREF _Toc155796896 \h </w:instrText>
      </w:r>
      <w:r>
        <w:fldChar w:fldCharType="separate"/>
      </w:r>
      <w:r w:rsidR="0041349C">
        <w:t>6</w:t>
      </w:r>
      <w:r>
        <w:fldChar w:fldCharType="end"/>
      </w:r>
    </w:p>
    <w:p w14:paraId="2CB3174E" w14:textId="77777777" w:rsidR="00BB66EE" w:rsidRDefault="00BB66EE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8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NABÍDKA</w:t>
      </w:r>
      <w:r>
        <w:tab/>
      </w:r>
      <w:r>
        <w:fldChar w:fldCharType="begin"/>
      </w:r>
      <w:r>
        <w:instrText xml:space="preserve"> PAGEREF _Toc155796897 \h </w:instrText>
      </w:r>
      <w:r>
        <w:fldChar w:fldCharType="separate"/>
      </w:r>
      <w:r w:rsidR="0041349C">
        <w:t>6</w:t>
      </w:r>
      <w:r>
        <w:fldChar w:fldCharType="end"/>
      </w:r>
    </w:p>
    <w:p w14:paraId="6D91E82B" w14:textId="77777777" w:rsidR="00BB66EE" w:rsidRDefault="00BB66EE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9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ZADÁVACÍ ŘÍZENÍ</w:t>
      </w:r>
      <w:r>
        <w:tab/>
      </w:r>
      <w:r>
        <w:fldChar w:fldCharType="begin"/>
      </w:r>
      <w:r>
        <w:instrText xml:space="preserve"> PAGEREF _Toc155796898 \h </w:instrText>
      </w:r>
      <w:r>
        <w:fldChar w:fldCharType="separate"/>
      </w:r>
      <w:r w:rsidR="0041349C">
        <w:t>6</w:t>
      </w:r>
      <w:r>
        <w:fldChar w:fldCharType="end"/>
      </w:r>
    </w:p>
    <w:p w14:paraId="1184BBDA" w14:textId="77777777" w:rsidR="00BB66EE" w:rsidRDefault="00BB66EE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10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ZÁVĚREČNÁ USTANOVENÍ</w:t>
      </w:r>
      <w:r>
        <w:tab/>
      </w:r>
      <w:r>
        <w:fldChar w:fldCharType="begin"/>
      </w:r>
      <w:r>
        <w:instrText xml:space="preserve"> PAGEREF _Toc155796899 \h </w:instrText>
      </w:r>
      <w:r>
        <w:fldChar w:fldCharType="separate"/>
      </w:r>
      <w:r w:rsidR="0041349C">
        <w:t>6</w:t>
      </w:r>
      <w:r>
        <w:fldChar w:fldCharType="end"/>
      </w:r>
    </w:p>
    <w:p w14:paraId="2C2741FC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10.1</w:t>
      </w:r>
      <w:r>
        <w:rPr>
          <w:rFonts w:asciiTheme="minorHAnsi" w:eastAsiaTheme="minorEastAsia" w:hAnsiTheme="minorHAnsi"/>
          <w:lang w:eastAsia="cs-CZ"/>
        </w:rPr>
        <w:tab/>
      </w:r>
      <w:r>
        <w:t>E-ZAK</w:t>
      </w:r>
      <w:r>
        <w:tab/>
      </w:r>
      <w:r>
        <w:fldChar w:fldCharType="begin"/>
      </w:r>
      <w:r>
        <w:instrText xml:space="preserve"> PAGEREF _Toc155796900 \h </w:instrText>
      </w:r>
      <w:r>
        <w:fldChar w:fldCharType="separate"/>
      </w:r>
      <w:r w:rsidR="0041349C">
        <w:t>6</w:t>
      </w:r>
      <w:r>
        <w:fldChar w:fldCharType="end"/>
      </w:r>
    </w:p>
    <w:p w14:paraId="791B2554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10.2</w:t>
      </w:r>
      <w:r>
        <w:rPr>
          <w:rFonts w:asciiTheme="minorHAnsi" w:eastAsiaTheme="minorEastAsia" w:hAnsiTheme="minorHAnsi"/>
          <w:lang w:eastAsia="cs-CZ"/>
        </w:rPr>
        <w:tab/>
      </w:r>
      <w:r>
        <w:t>KOMUNIKACE</w:t>
      </w:r>
      <w:r>
        <w:tab/>
      </w:r>
      <w:r>
        <w:fldChar w:fldCharType="begin"/>
      </w:r>
      <w:r>
        <w:instrText xml:space="preserve"> PAGEREF _Toc155796901 \h </w:instrText>
      </w:r>
      <w:r>
        <w:fldChar w:fldCharType="separate"/>
      </w:r>
      <w:r w:rsidR="0041349C">
        <w:t>6</w:t>
      </w:r>
      <w:r>
        <w:fldChar w:fldCharType="end"/>
      </w:r>
    </w:p>
    <w:p w14:paraId="2173FDFB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10.3</w:t>
      </w:r>
      <w:r>
        <w:rPr>
          <w:rFonts w:asciiTheme="minorHAnsi" w:eastAsiaTheme="minorEastAsia" w:hAnsiTheme="minorHAnsi"/>
          <w:lang w:eastAsia="cs-CZ"/>
        </w:rPr>
        <w:tab/>
      </w:r>
      <w:r>
        <w:t>GDPR</w:t>
      </w:r>
      <w:r>
        <w:tab/>
      </w:r>
      <w:r>
        <w:fldChar w:fldCharType="begin"/>
      </w:r>
      <w:r>
        <w:instrText xml:space="preserve"> PAGEREF _Toc155796902 \h </w:instrText>
      </w:r>
      <w:r>
        <w:fldChar w:fldCharType="separate"/>
      </w:r>
      <w:r w:rsidR="0041349C">
        <w:t>7</w:t>
      </w:r>
      <w:r>
        <w:fldChar w:fldCharType="end"/>
      </w:r>
    </w:p>
    <w:p w14:paraId="79E34066" w14:textId="77777777" w:rsidR="00BB66EE" w:rsidRDefault="00BB66EE">
      <w:pPr>
        <w:pStyle w:val="Obsah2"/>
        <w:rPr>
          <w:rFonts w:asciiTheme="minorHAnsi" w:eastAsiaTheme="minorEastAsia" w:hAnsiTheme="minorHAnsi"/>
          <w:lang w:eastAsia="cs-CZ"/>
        </w:rPr>
      </w:pPr>
      <w:r>
        <w:t>10.4</w:t>
      </w:r>
      <w:r>
        <w:rPr>
          <w:rFonts w:asciiTheme="minorHAnsi" w:eastAsiaTheme="minorEastAsia" w:hAnsiTheme="minorHAnsi"/>
          <w:lang w:eastAsia="cs-CZ"/>
        </w:rPr>
        <w:tab/>
      </w:r>
      <w:r>
        <w:t>Další informace</w:t>
      </w:r>
      <w:r>
        <w:tab/>
      </w:r>
      <w:r>
        <w:fldChar w:fldCharType="begin"/>
      </w:r>
      <w:r>
        <w:instrText xml:space="preserve"> PAGEREF _Toc155796903 \h </w:instrText>
      </w:r>
      <w:r>
        <w:fldChar w:fldCharType="separate"/>
      </w:r>
      <w:r w:rsidR="0041349C">
        <w:t>7</w:t>
      </w:r>
      <w:r>
        <w:fldChar w:fldCharType="end"/>
      </w:r>
    </w:p>
    <w:p w14:paraId="1E2A8E6E" w14:textId="77777777" w:rsidR="00BB66EE" w:rsidRDefault="00BB66EE">
      <w:pPr>
        <w:pStyle w:val="Obsah1"/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</w:pPr>
      <w:r>
        <w:t>11</w:t>
      </w:r>
      <w:r>
        <w:rPr>
          <w:rFonts w:asciiTheme="minorHAnsi" w:eastAsiaTheme="minorEastAsia" w:hAnsiTheme="minorHAnsi" w:cstheme="minorBidi"/>
          <w:b w:val="0"/>
          <w:color w:val="auto"/>
          <w:sz w:val="22"/>
          <w:szCs w:val="22"/>
        </w:rPr>
        <w:tab/>
      </w:r>
      <w:r>
        <w:t>PŘÍLOHY ZADÁVACÍ DOKUMENTACE</w:t>
      </w:r>
      <w:r>
        <w:tab/>
      </w:r>
      <w:r>
        <w:fldChar w:fldCharType="begin"/>
      </w:r>
      <w:r>
        <w:instrText xml:space="preserve"> PAGEREF _Toc155796904 \h </w:instrText>
      </w:r>
      <w:r>
        <w:fldChar w:fldCharType="separate"/>
      </w:r>
      <w:r w:rsidR="0041349C">
        <w:t>7</w:t>
      </w:r>
      <w:r>
        <w:fldChar w:fldCharType="end"/>
      </w:r>
    </w:p>
    <w:p w14:paraId="2E200D0F" w14:textId="5A4F94C8" w:rsidR="00BB66EE" w:rsidRDefault="00BB66EE" w:rsidP="00BB66EE">
      <w:pPr>
        <w:pStyle w:val="Obsah1"/>
      </w:pPr>
      <w:r>
        <w:t>OBECNÉ PODMÍNKY ZADÁVACÍHO ŘÍZENÍ</w:t>
      </w:r>
      <w:r>
        <w:tab/>
      </w:r>
      <w:r>
        <w:fldChar w:fldCharType="begin"/>
      </w:r>
      <w:r>
        <w:instrText xml:space="preserve"> PAGEREF _Toc155796905 \h </w:instrText>
      </w:r>
      <w:r>
        <w:fldChar w:fldCharType="separate"/>
      </w:r>
      <w:r w:rsidR="0041349C">
        <w:t>8</w:t>
      </w:r>
      <w:r>
        <w:fldChar w:fldCharType="end"/>
      </w:r>
    </w:p>
    <w:p w14:paraId="3A0BA58E" w14:textId="6BDB1DD0" w:rsidR="00BB66EE" w:rsidRDefault="00BB66EE">
      <w:pPr>
        <w:spacing w:after="160" w:line="259" w:lineRule="auto"/>
        <w:jc w:val="left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14:paraId="1E757110" w14:textId="3ED70A34" w:rsidR="001530E5" w:rsidRPr="001530E5" w:rsidRDefault="006B1CD3" w:rsidP="00E113C7">
      <w:pPr>
        <w:pStyle w:val="Nadpis1"/>
        <w:shd w:val="clear" w:color="auto" w:fill="D9D9D9" w:themeFill="background1" w:themeFillShade="D9"/>
        <w:jc w:val="left"/>
      </w:pPr>
      <w:r>
        <w:rPr>
          <w:rFonts w:cs="Calibri"/>
          <w:i/>
          <w:noProof/>
          <w:color w:val="000000" w:themeColor="text1"/>
          <w:lang w:eastAsia="cs-CZ"/>
        </w:rPr>
        <w:lastRenderedPageBreak/>
        <w:fldChar w:fldCharType="end"/>
      </w:r>
      <w:bookmarkStart w:id="2" w:name="_Toc95137614"/>
      <w:bookmarkStart w:id="3" w:name="_Toc155796873"/>
      <w:r w:rsidR="001530E5" w:rsidRPr="001530E5">
        <w:t>ADMINISTRÁTOR</w:t>
      </w:r>
      <w:bookmarkEnd w:id="2"/>
      <w:bookmarkEnd w:id="3"/>
    </w:p>
    <w:p w14:paraId="47C88D12" w14:textId="77777777" w:rsidR="005E5BA0" w:rsidRDefault="00950AF5" w:rsidP="00950AF5">
      <w:r>
        <w:t xml:space="preserve">Zadavatel je v tomto zadávacím řízení zastoupen administrátorem. </w:t>
      </w:r>
    </w:p>
    <w:p w14:paraId="23325DE3" w14:textId="260C1297" w:rsidR="001530E5" w:rsidRDefault="001530E5" w:rsidP="00D35760">
      <w:pPr>
        <w:pStyle w:val="Nadpis1"/>
        <w:shd w:val="clear" w:color="auto" w:fill="D9D9D9" w:themeFill="background1" w:themeFillShade="D9"/>
        <w:jc w:val="left"/>
      </w:pPr>
      <w:bookmarkStart w:id="4" w:name="_VEŘEJNÁ_ZAKÁZKA_1"/>
      <w:bookmarkEnd w:id="4"/>
      <w:r>
        <w:tab/>
      </w:r>
      <w:bookmarkStart w:id="5" w:name="_Toc95137615"/>
      <w:bookmarkStart w:id="6" w:name="_Toc155796874"/>
      <w:r>
        <w:t>VEŘEJNÁ ZAKÁZKA</w:t>
      </w:r>
      <w:bookmarkEnd w:id="5"/>
      <w:bookmarkEnd w:id="6"/>
    </w:p>
    <w:p w14:paraId="4E6AB2C4" w14:textId="459275C4" w:rsidR="009E4461" w:rsidRDefault="00B35CFD" w:rsidP="00B35CFD">
      <w:r w:rsidRPr="00B35CFD">
        <w:rPr>
          <w:b/>
        </w:rPr>
        <w:t>Detail veřejné zakázky v E-ZAK</w:t>
      </w:r>
      <w:r w:rsidRPr="00B35CFD">
        <w:t>:</w:t>
      </w:r>
      <w:r w:rsidR="005E5BA0">
        <w:t xml:space="preserve"> </w:t>
      </w:r>
      <w:hyperlink r:id="rId9" w:history="1">
        <w:r w:rsidR="009E4461" w:rsidRPr="005761AF">
          <w:rPr>
            <w:rStyle w:val="Hypertextovodkaz"/>
          </w:rPr>
          <w:t>https://ezak.cnpk.cz/contract_display_11801.html</w:t>
        </w:r>
      </w:hyperlink>
    </w:p>
    <w:p w14:paraId="4749469A" w14:textId="01F15878" w:rsidR="00B35CFD" w:rsidRDefault="00DB1102" w:rsidP="00B35CFD">
      <w:r>
        <w:t>V detailu veřejné zakázky</w:t>
      </w:r>
      <w:r w:rsidR="00B35CFD">
        <w:t xml:space="preserve"> dodavatelé naleznou zadávací podmínky, vysvětlení zadávací dokumentace a další informace o veřejné zakázce. V tomto detailu se podávají elektronické nabídky.</w:t>
      </w:r>
    </w:p>
    <w:p w14:paraId="28FC1F4B" w14:textId="77777777" w:rsidR="00B35CFD" w:rsidRDefault="00B35CFD" w:rsidP="00934816">
      <w:r w:rsidRPr="00B35CFD">
        <w:t>Předběžné tržní konzultace nebyly realizovány.</w:t>
      </w:r>
    </w:p>
    <w:p w14:paraId="31B79810" w14:textId="5E97A9BC" w:rsidR="00C916D2" w:rsidRPr="00B35CFD" w:rsidRDefault="00C916D2" w:rsidP="00934816">
      <w:r>
        <w:t>Zpracovateli Zadávací dokumentace jsou zaměstnanci zadavatele a administrátora.</w:t>
      </w:r>
    </w:p>
    <w:p w14:paraId="6B494CBF" w14:textId="362FAF9D" w:rsidR="00B35CFD" w:rsidRDefault="00B35CFD" w:rsidP="00B35CFD">
      <w:r>
        <w:t>Veřejná zakázka není rozdělena na části, protože se jedná o celistvý funkční celek, který zajistí jeden dodavatel.</w:t>
      </w:r>
    </w:p>
    <w:p w14:paraId="75B4A29B" w14:textId="77777777" w:rsidR="00950AF5" w:rsidRPr="005B23D2" w:rsidRDefault="00950AF5" w:rsidP="00A94922">
      <w:pPr>
        <w:pStyle w:val="Nadpis2"/>
      </w:pPr>
      <w:bookmarkStart w:id="7" w:name="_Toc155796875"/>
      <w:r w:rsidRPr="005B23D2">
        <w:t>Předmět veřejné zakázky</w:t>
      </w:r>
      <w:bookmarkEnd w:id="7"/>
    </w:p>
    <w:p w14:paraId="7ACCED64" w14:textId="3AB6B0B3" w:rsidR="00950AF5" w:rsidRDefault="004E644E" w:rsidP="00950AF5">
      <w:bookmarkStart w:id="8" w:name="_Toc95137617"/>
      <w:r>
        <w:t>Předmětem veřejné zakázky</w:t>
      </w:r>
      <w:r w:rsidR="00C067CE">
        <w:t xml:space="preserve"> </w:t>
      </w:r>
      <w:r w:rsidRPr="004E644E">
        <w:t>jsou práce spojené s výměnou osobního výtahu pro 4 osoby, nosnosti 320 kg, o 4 stanicích v budově školy. Kabina výtahu bude neprůchozí s kabinovými dveřmi BUS a šachetními jednokřídlovými dveřmi 800 x 2000 mm.</w:t>
      </w:r>
    </w:p>
    <w:p w14:paraId="251353C5" w14:textId="3BF19E4A" w:rsidR="006A5EA3" w:rsidRDefault="004E644E" w:rsidP="00950AF5">
      <w:pPr>
        <w:rPr>
          <w:rFonts w:eastAsia="Times New Roman" w:cs="Calibri"/>
          <w:color w:val="000000"/>
        </w:rPr>
      </w:pPr>
      <w:r w:rsidRPr="004E644E">
        <w:rPr>
          <w:lang w:eastAsia="cs-CZ"/>
        </w:rPr>
        <w:t>Dodávka</w:t>
      </w:r>
      <w:r>
        <w:rPr>
          <w:lang w:eastAsia="cs-CZ"/>
        </w:rPr>
        <w:t xml:space="preserve"> bude poskytována včetně</w:t>
      </w:r>
      <w:r w:rsidR="006A5EA3">
        <w:rPr>
          <w:lang w:eastAsia="cs-CZ"/>
        </w:rPr>
        <w:t xml:space="preserve">: </w:t>
      </w:r>
      <w:r w:rsidR="006A5EA3">
        <w:rPr>
          <w:lang w:eastAsia="cs-CZ"/>
        </w:rPr>
        <w:tab/>
      </w:r>
      <w:r>
        <w:rPr>
          <w:rFonts w:eastAsia="Times New Roman" w:cs="Calibri"/>
          <w:color w:val="000000"/>
        </w:rPr>
        <w:t xml:space="preserve">demontáže a likvidace stávajícího výtahu, </w:t>
      </w:r>
    </w:p>
    <w:p w14:paraId="3F523F0B" w14:textId="77777777" w:rsidR="006A5EA3" w:rsidRDefault="004E644E" w:rsidP="006A5EA3">
      <w:pPr>
        <w:ind w:left="2832" w:firstLine="708"/>
        <w:rPr>
          <w:rFonts w:eastAsia="Times New Roman" w:cs="Calibri"/>
          <w:color w:val="000000"/>
        </w:rPr>
      </w:pPr>
      <w:r w:rsidRPr="004E644E">
        <w:rPr>
          <w:rFonts w:eastAsia="Times New Roman" w:cs="Calibri"/>
          <w:color w:val="000000"/>
        </w:rPr>
        <w:t>vybourání podstavce pod strojem</w:t>
      </w:r>
      <w:r>
        <w:rPr>
          <w:rFonts w:eastAsia="Times New Roman" w:cs="Calibri"/>
          <w:color w:val="000000"/>
        </w:rPr>
        <w:t xml:space="preserve">, </w:t>
      </w:r>
    </w:p>
    <w:p w14:paraId="38E157C6" w14:textId="77777777" w:rsidR="006A5EA3" w:rsidRDefault="004E644E" w:rsidP="006A5EA3">
      <w:pPr>
        <w:ind w:left="3540"/>
        <w:rPr>
          <w:rFonts w:eastAsia="Times New Roman" w:cs="Calibri"/>
          <w:color w:val="000000"/>
        </w:rPr>
      </w:pPr>
      <w:r w:rsidRPr="004E644E">
        <w:rPr>
          <w:rFonts w:eastAsia="Times New Roman" w:cs="Calibri"/>
          <w:color w:val="000000"/>
        </w:rPr>
        <w:t>vybourání stávajících dveří</w:t>
      </w:r>
      <w:r>
        <w:rPr>
          <w:rFonts w:eastAsia="Times New Roman" w:cs="Calibri"/>
          <w:color w:val="000000"/>
        </w:rPr>
        <w:t xml:space="preserve">, </w:t>
      </w:r>
    </w:p>
    <w:p w14:paraId="378BC25C" w14:textId="77777777" w:rsidR="006A5EA3" w:rsidRDefault="004E644E" w:rsidP="006A5EA3">
      <w:pPr>
        <w:ind w:left="3540"/>
        <w:rPr>
          <w:rFonts w:eastAsia="Times New Roman" w:cs="Calibri"/>
          <w:color w:val="000000"/>
        </w:rPr>
      </w:pPr>
      <w:r w:rsidRPr="004E644E">
        <w:rPr>
          <w:rFonts w:eastAsia="Times New Roman" w:cs="Calibri"/>
          <w:color w:val="000000"/>
        </w:rPr>
        <w:t>úpravě nástupišť</w:t>
      </w:r>
      <w:r>
        <w:rPr>
          <w:rFonts w:eastAsia="Times New Roman" w:cs="Calibri"/>
          <w:color w:val="000000"/>
        </w:rPr>
        <w:t xml:space="preserve">, </w:t>
      </w:r>
    </w:p>
    <w:p w14:paraId="7238D602" w14:textId="77777777" w:rsidR="006A5EA3" w:rsidRDefault="004E644E" w:rsidP="006A5EA3">
      <w:pPr>
        <w:ind w:left="3540"/>
        <w:rPr>
          <w:rFonts w:eastAsia="Times New Roman" w:cs="Calibri"/>
          <w:color w:val="000000"/>
        </w:rPr>
      </w:pPr>
      <w:r w:rsidRPr="004E644E">
        <w:rPr>
          <w:rFonts w:eastAsia="Times New Roman" w:cs="Calibri"/>
          <w:color w:val="000000"/>
        </w:rPr>
        <w:t>zazdění nových šachetních dveří</w:t>
      </w:r>
      <w:r>
        <w:rPr>
          <w:rFonts w:eastAsia="Times New Roman" w:cs="Calibri"/>
          <w:color w:val="000000"/>
        </w:rPr>
        <w:t xml:space="preserve">, </w:t>
      </w:r>
    </w:p>
    <w:p w14:paraId="34337D81" w14:textId="77777777" w:rsidR="006A5EA3" w:rsidRDefault="004E644E" w:rsidP="006A5EA3">
      <w:pPr>
        <w:ind w:left="3540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opravě podlahy nástupišť, </w:t>
      </w:r>
    </w:p>
    <w:p w14:paraId="0056FB13" w14:textId="77777777" w:rsidR="006A5EA3" w:rsidRDefault="004E644E" w:rsidP="006A5EA3">
      <w:pPr>
        <w:ind w:left="3540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 xml:space="preserve">elektroinstalaci, </w:t>
      </w:r>
    </w:p>
    <w:p w14:paraId="381DD1B0" w14:textId="23EAB5E9" w:rsidR="004E644E" w:rsidRDefault="004E644E" w:rsidP="006A5EA3">
      <w:pPr>
        <w:ind w:left="3540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malby výtahové šachty a úpravy okolí výtahové šachty - stěny, dlažba, malby.</w:t>
      </w:r>
    </w:p>
    <w:p w14:paraId="252A062C" w14:textId="10BC71B3" w:rsidR="00A94922" w:rsidRPr="00A94922" w:rsidRDefault="00A94922" w:rsidP="006A5EA3">
      <w:pPr>
        <w:ind w:left="3540"/>
        <w:rPr>
          <w:lang w:eastAsia="cs-CZ"/>
        </w:rPr>
      </w:pPr>
      <w:r w:rsidRPr="00A94922">
        <w:rPr>
          <w:lang w:eastAsia="cs-CZ"/>
        </w:rPr>
        <w:t>servis výtahu</w:t>
      </w:r>
    </w:p>
    <w:p w14:paraId="5E3DD171" w14:textId="77777777" w:rsidR="004E644E" w:rsidRDefault="004E644E" w:rsidP="004E644E">
      <w:pPr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Součástí zakázky je také vypracování projektové dokumentace a zajištění stavebního povolení vybraným dodavatelem.</w:t>
      </w:r>
    </w:p>
    <w:p w14:paraId="4194FF3A" w14:textId="2FB0EEE4" w:rsidR="00C067CE" w:rsidRPr="004E644E" w:rsidRDefault="004E644E" w:rsidP="00C067CE">
      <w:r w:rsidRPr="004E644E">
        <w:t>Účelem VZ je výměna osobního výtahu. Cílem zadávacího řízení je uzavření smlouvy s vybraným dodavatelem.</w:t>
      </w:r>
    </w:p>
    <w:p w14:paraId="7FE89B80" w14:textId="1A9CF793" w:rsidR="00A94922" w:rsidRDefault="001B40A4" w:rsidP="00950AF5">
      <w:pPr>
        <w:rPr>
          <w:lang w:eastAsia="cs-CZ"/>
        </w:rPr>
      </w:pPr>
      <w:r>
        <w:t>Předmět plnění, technick</w:t>
      </w:r>
      <w:r w:rsidR="00553BEE">
        <w:t>é</w:t>
      </w:r>
      <w:r>
        <w:t xml:space="preserve"> specifikace,</w:t>
      </w:r>
      <w:r w:rsidR="00C067CE">
        <w:t xml:space="preserve"> </w:t>
      </w:r>
      <w:r w:rsidR="00C067CE" w:rsidRPr="00945B84">
        <w:rPr>
          <w:lang w:eastAsia="cs-CZ"/>
        </w:rPr>
        <w:t>parametry a další požadavky zadavatele jsou stanoveny v</w:t>
      </w:r>
      <w:r>
        <w:rPr>
          <w:lang w:eastAsia="cs-CZ"/>
        </w:rPr>
        <w:t> Technické specifikaci</w:t>
      </w:r>
      <w:r w:rsidR="00C067CE" w:rsidRPr="00945B84">
        <w:rPr>
          <w:lang w:eastAsia="cs-CZ"/>
        </w:rPr>
        <w:t> </w:t>
      </w:r>
      <w:r>
        <w:rPr>
          <w:lang w:eastAsia="cs-CZ"/>
        </w:rPr>
        <w:t>(Příloha</w:t>
      </w:r>
      <w:r w:rsidR="00C067CE" w:rsidRPr="00945B84">
        <w:rPr>
          <w:lang w:eastAsia="cs-CZ"/>
        </w:rPr>
        <w:t xml:space="preserve"> č. 2 </w:t>
      </w:r>
      <w:r w:rsidR="00E71864">
        <w:rPr>
          <w:lang w:eastAsia="cs-CZ"/>
        </w:rPr>
        <w:t>ZD</w:t>
      </w:r>
      <w:r>
        <w:rPr>
          <w:lang w:eastAsia="cs-CZ"/>
        </w:rPr>
        <w:t xml:space="preserve">) a v Návrhu smlouvy (Příloha č. 3 </w:t>
      </w:r>
      <w:r w:rsidR="00E71864">
        <w:rPr>
          <w:lang w:eastAsia="cs-CZ"/>
        </w:rPr>
        <w:t>ZD</w:t>
      </w:r>
      <w:r>
        <w:rPr>
          <w:lang w:eastAsia="cs-CZ"/>
        </w:rPr>
        <w:t>)</w:t>
      </w:r>
      <w:r w:rsidR="00C067CE" w:rsidRPr="00945B84">
        <w:rPr>
          <w:lang w:eastAsia="cs-CZ"/>
        </w:rPr>
        <w:t>.</w:t>
      </w:r>
    </w:p>
    <w:p w14:paraId="1D1742CF" w14:textId="7DA33C39" w:rsidR="001530E5" w:rsidRDefault="001530E5" w:rsidP="00A94922">
      <w:pPr>
        <w:pStyle w:val="Nadpis2"/>
      </w:pPr>
      <w:bookmarkStart w:id="9" w:name="_Toc155796876"/>
      <w:r>
        <w:t>CPV kódy</w:t>
      </w:r>
      <w:bookmarkEnd w:id="8"/>
      <w:bookmarkEnd w:id="9"/>
      <w:r w:rsidR="009D39D9">
        <w:t xml:space="preserve"> </w:t>
      </w:r>
    </w:p>
    <w:p w14:paraId="518BF28B" w14:textId="77777777" w:rsidR="00B33BB1" w:rsidRPr="00EF6AD8" w:rsidRDefault="00B33BB1" w:rsidP="00B33BB1">
      <w:pPr>
        <w:spacing w:before="120"/>
        <w:ind w:firstLine="708"/>
        <w:rPr>
          <w:u w:val="single"/>
          <w:lang w:eastAsia="cs-CZ"/>
        </w:rPr>
      </w:pPr>
      <w:r w:rsidRPr="00EF6AD8">
        <w:rPr>
          <w:u w:val="single"/>
          <w:lang w:eastAsia="cs-CZ"/>
        </w:rPr>
        <w:t>CPV KÓD – NÁZEV</w:t>
      </w:r>
    </w:p>
    <w:p w14:paraId="78D76444" w14:textId="08147A6A" w:rsidR="006833E7" w:rsidRDefault="004E644E" w:rsidP="004E644E">
      <w:pPr>
        <w:pStyle w:val="Odstavecseseznamem"/>
        <w:numPr>
          <w:ilvl w:val="0"/>
          <w:numId w:val="15"/>
        </w:numPr>
        <w:spacing w:before="120"/>
        <w:rPr>
          <w:lang w:eastAsia="cs-CZ"/>
        </w:rPr>
      </w:pPr>
      <w:r w:rsidRPr="004E644E">
        <w:rPr>
          <w:lang w:eastAsia="cs-CZ"/>
        </w:rPr>
        <w:t>45313100-5</w:t>
      </w:r>
      <w:r w:rsidR="006833E7">
        <w:rPr>
          <w:lang w:eastAsia="cs-CZ"/>
        </w:rPr>
        <w:t xml:space="preserve"> </w:t>
      </w:r>
      <w:r w:rsidR="006833E7" w:rsidRPr="006833E7">
        <w:rPr>
          <w:lang w:eastAsia="cs-CZ"/>
        </w:rPr>
        <w:t xml:space="preserve">Instalace a montáž výtahů </w:t>
      </w:r>
    </w:p>
    <w:p w14:paraId="12D2926E" w14:textId="77777777" w:rsidR="00A94922" w:rsidRDefault="00A94922" w:rsidP="00A94922">
      <w:pPr>
        <w:spacing w:before="120"/>
        <w:rPr>
          <w:lang w:eastAsia="cs-CZ"/>
        </w:rPr>
      </w:pPr>
    </w:p>
    <w:p w14:paraId="5AF89745" w14:textId="77777777" w:rsidR="00A94922" w:rsidRDefault="00A94922" w:rsidP="00A94922">
      <w:pPr>
        <w:spacing w:before="120"/>
        <w:rPr>
          <w:lang w:eastAsia="cs-CZ"/>
        </w:rPr>
      </w:pPr>
    </w:p>
    <w:p w14:paraId="4C8A72AC" w14:textId="77777777" w:rsidR="00A94922" w:rsidRDefault="00A94922" w:rsidP="00A94922">
      <w:pPr>
        <w:spacing w:before="120"/>
        <w:rPr>
          <w:lang w:eastAsia="cs-CZ"/>
        </w:rPr>
      </w:pPr>
    </w:p>
    <w:p w14:paraId="36C4D68B" w14:textId="6528D924" w:rsidR="00B35CFD" w:rsidRPr="00B35CFD" w:rsidRDefault="00B35CFD" w:rsidP="00A94922">
      <w:pPr>
        <w:pStyle w:val="Nadpis2"/>
      </w:pPr>
      <w:bookmarkStart w:id="10" w:name="_Toc155796877"/>
      <w:r>
        <w:lastRenderedPageBreak/>
        <w:t>Předpokládaná hodnota</w:t>
      </w:r>
      <w:bookmarkEnd w:id="10"/>
    </w:p>
    <w:p w14:paraId="2B112B4E" w14:textId="0FC940F3" w:rsidR="006F6E24" w:rsidRPr="009A4F99" w:rsidRDefault="006F6E24" w:rsidP="009938F8">
      <w:pPr>
        <w:rPr>
          <w:b/>
        </w:rPr>
      </w:pPr>
      <w:r>
        <w:rPr>
          <w:b/>
          <w:u w:val="single"/>
        </w:rPr>
        <w:t>P</w:t>
      </w:r>
      <w:r w:rsidR="009938F8" w:rsidRPr="00642631">
        <w:rPr>
          <w:b/>
          <w:u w:val="single"/>
        </w:rPr>
        <w:t>ředpokládaná hodnota</w:t>
      </w:r>
      <w:r>
        <w:rPr>
          <w:b/>
          <w:u w:val="single"/>
        </w:rPr>
        <w:t xml:space="preserve"> veřejné zakázky</w:t>
      </w:r>
      <w:r w:rsidR="009938F8" w:rsidRPr="00024831">
        <w:rPr>
          <w:b/>
          <w:u w:val="single"/>
        </w:rPr>
        <w:t>:</w:t>
      </w:r>
      <w:r w:rsidR="009938F8" w:rsidRPr="00024831">
        <w:rPr>
          <w:b/>
        </w:rPr>
        <w:t xml:space="preserve"> </w:t>
      </w:r>
      <w:r w:rsidR="00024831">
        <w:rPr>
          <w:b/>
        </w:rPr>
        <w:t>1 </w:t>
      </w:r>
      <w:r w:rsidR="00A94922">
        <w:rPr>
          <w:b/>
        </w:rPr>
        <w:t>4</w:t>
      </w:r>
      <w:r w:rsidR="00024831">
        <w:rPr>
          <w:b/>
        </w:rPr>
        <w:t>00 000</w:t>
      </w:r>
      <w:r w:rsidR="009938F8" w:rsidRPr="00642631">
        <w:rPr>
          <w:b/>
        </w:rPr>
        <w:t xml:space="preserve"> Kč bez DPH</w:t>
      </w:r>
    </w:p>
    <w:p w14:paraId="07FDC292" w14:textId="07055F09" w:rsidR="007E1B99" w:rsidRDefault="008C2F47" w:rsidP="00A94922">
      <w:pPr>
        <w:pStyle w:val="Nadpis2"/>
      </w:pPr>
      <w:bookmarkStart w:id="11" w:name="_Toc95137619"/>
      <w:bookmarkStart w:id="12" w:name="_Toc155796878"/>
      <w:r>
        <w:t>Termín a m</w:t>
      </w:r>
      <w:r w:rsidR="007E1B99" w:rsidRPr="007E1B99">
        <w:t>ísto plnění veřejné zakázky</w:t>
      </w:r>
      <w:bookmarkEnd w:id="11"/>
      <w:bookmarkEnd w:id="12"/>
    </w:p>
    <w:p w14:paraId="0C9369A1" w14:textId="1EB0DC8C" w:rsidR="00A413A6" w:rsidRDefault="00A413A6" w:rsidP="00BB3115">
      <w:pPr>
        <w:rPr>
          <w:lang w:eastAsia="cs-CZ"/>
        </w:rPr>
      </w:pPr>
      <w:r w:rsidRPr="00A413A6">
        <w:rPr>
          <w:lang w:eastAsia="cs-CZ"/>
        </w:rPr>
        <w:t xml:space="preserve">Dokončení projektové dokumentace a podání žádosti o stavební povolení: </w:t>
      </w:r>
      <w:r w:rsidRPr="008C4315">
        <w:rPr>
          <w:b/>
          <w:lang w:eastAsia="cs-CZ"/>
        </w:rPr>
        <w:t xml:space="preserve">Nejpozději do </w:t>
      </w:r>
      <w:r w:rsidR="00531E92">
        <w:rPr>
          <w:b/>
        </w:rPr>
        <w:t>28</w:t>
      </w:r>
      <w:r w:rsidR="00531E92" w:rsidRPr="001061BB">
        <w:rPr>
          <w:b/>
        </w:rPr>
        <w:t xml:space="preserve"> (</w:t>
      </w:r>
      <w:r w:rsidR="00531E92" w:rsidRPr="0002433C">
        <w:rPr>
          <w:b/>
          <w:lang w:eastAsia="cs-CZ"/>
        </w:rPr>
        <w:t>dvaceti osm</w:t>
      </w:r>
      <w:r w:rsidR="00805DBC">
        <w:rPr>
          <w:b/>
          <w:lang w:eastAsia="cs-CZ"/>
        </w:rPr>
        <w:t>i</w:t>
      </w:r>
      <w:r w:rsidRPr="008C4315">
        <w:rPr>
          <w:b/>
          <w:lang w:eastAsia="cs-CZ"/>
        </w:rPr>
        <w:t xml:space="preserve">) kalendářních dní po </w:t>
      </w:r>
      <w:r w:rsidR="008C4315" w:rsidRPr="008C4315">
        <w:rPr>
          <w:b/>
          <w:lang w:eastAsia="cs-CZ"/>
        </w:rPr>
        <w:t>podpisu Smlouvy</w:t>
      </w:r>
      <w:r w:rsidR="008C4315">
        <w:rPr>
          <w:lang w:eastAsia="cs-CZ"/>
        </w:rPr>
        <w:t xml:space="preserve">. </w:t>
      </w:r>
    </w:p>
    <w:p w14:paraId="7F6BA694" w14:textId="5E46AD06" w:rsidR="00A413A6" w:rsidRDefault="00A413A6" w:rsidP="00BB3115">
      <w:pPr>
        <w:rPr>
          <w:lang w:eastAsia="cs-CZ"/>
        </w:rPr>
      </w:pPr>
      <w:r w:rsidRPr="00A413A6">
        <w:rPr>
          <w:lang w:eastAsia="cs-CZ"/>
        </w:rPr>
        <w:t xml:space="preserve">Dokončení díla: </w:t>
      </w:r>
      <w:r w:rsidR="00531E92" w:rsidRPr="00714534">
        <w:rPr>
          <w:b/>
        </w:rPr>
        <w:t>nejpozději</w:t>
      </w:r>
      <w:r w:rsidR="00531E92">
        <w:t xml:space="preserve"> </w:t>
      </w:r>
      <w:r w:rsidR="00531E92" w:rsidRPr="0002433C">
        <w:rPr>
          <w:b/>
          <w:lang w:eastAsia="cs-CZ"/>
        </w:rPr>
        <w:t>do 90 kalendářních dní od nabytí účinnosti stavebního povolení.</w:t>
      </w:r>
    </w:p>
    <w:p w14:paraId="22A8E45B" w14:textId="7B11973F" w:rsidR="006F6E24" w:rsidRPr="006F6E24" w:rsidRDefault="006F6E24" w:rsidP="00BB3115">
      <w:pPr>
        <w:rPr>
          <w:lang w:eastAsia="cs-CZ"/>
        </w:rPr>
      </w:pPr>
      <w:r>
        <w:rPr>
          <w:lang w:eastAsia="cs-CZ"/>
        </w:rPr>
        <w:t xml:space="preserve">Místem plnění je </w:t>
      </w:r>
      <w:r w:rsidR="006833E7" w:rsidRPr="006833E7">
        <w:rPr>
          <w:lang w:eastAsia="cs-CZ"/>
        </w:rPr>
        <w:t>Budova SZŠ a VOŠZ Plzeň, Karlovarská 99, Plzeň.</w:t>
      </w:r>
      <w:r w:rsidR="006833E7">
        <w:rPr>
          <w:lang w:eastAsia="cs-CZ"/>
        </w:rPr>
        <w:t xml:space="preserve"> (p. č. </w:t>
      </w:r>
      <w:r w:rsidR="006833E7" w:rsidRPr="006833E7">
        <w:rPr>
          <w:lang w:eastAsia="cs-CZ"/>
        </w:rPr>
        <w:t>1274/13</w:t>
      </w:r>
      <w:r w:rsidR="006833E7">
        <w:rPr>
          <w:lang w:eastAsia="cs-CZ"/>
        </w:rPr>
        <w:t xml:space="preserve">, katastrální území </w:t>
      </w:r>
      <w:r w:rsidR="006833E7" w:rsidRPr="006833E7">
        <w:rPr>
          <w:lang w:eastAsia="cs-CZ"/>
        </w:rPr>
        <w:t>Bolevec [722120]</w:t>
      </w:r>
      <w:r w:rsidR="006833E7">
        <w:rPr>
          <w:lang w:eastAsia="cs-CZ"/>
        </w:rPr>
        <w:t>)</w:t>
      </w:r>
    </w:p>
    <w:p w14:paraId="0320B412" w14:textId="137D604D" w:rsidR="00372740" w:rsidRDefault="00372740" w:rsidP="00A94922">
      <w:pPr>
        <w:pStyle w:val="Nadpis2"/>
      </w:pPr>
      <w:bookmarkStart w:id="13" w:name="_Toc95137622"/>
      <w:bookmarkStart w:id="14" w:name="_Toc155796879"/>
      <w:r w:rsidRPr="00372740">
        <w:t>Odpovědné veřejné zadávání</w:t>
      </w:r>
      <w:bookmarkEnd w:id="13"/>
      <w:r w:rsidR="009E7168">
        <w:t xml:space="preserve"> (OVZ)</w:t>
      </w:r>
      <w:bookmarkEnd w:id="14"/>
    </w:p>
    <w:p w14:paraId="6F42F20D" w14:textId="03825EBA" w:rsidR="009E7168" w:rsidRPr="009E7168" w:rsidRDefault="009E7168" w:rsidP="003C4E6C">
      <w:r w:rsidRPr="003C4E6C">
        <w:t>Zadavatel zohledni</w:t>
      </w:r>
      <w:r w:rsidR="00BC7AB3">
        <w:t>l zásady OVZ;</w:t>
      </w:r>
      <w:r w:rsidR="00B3430D">
        <w:t xml:space="preserve"> jednotlivé</w:t>
      </w:r>
      <w:r w:rsidR="00BC7AB3">
        <w:t xml:space="preserve"> podmínky </w:t>
      </w:r>
      <w:r w:rsidR="005B734B">
        <w:t>jsou uvedené</w:t>
      </w:r>
      <w:r w:rsidR="00BC7AB3">
        <w:t xml:space="preserve"> v</w:t>
      </w:r>
      <w:r w:rsidR="00553BEE">
        <w:t> Čestném prohlášení (</w:t>
      </w:r>
      <w:r w:rsidR="00BC7AB3">
        <w:t>P</w:t>
      </w:r>
      <w:r w:rsidR="00553BEE">
        <w:t xml:space="preserve">říloha č. 4 </w:t>
      </w:r>
      <w:r w:rsidR="00E71864">
        <w:t>ZD</w:t>
      </w:r>
      <w:r w:rsidR="00553BEE">
        <w:t>)</w:t>
      </w:r>
      <w:r w:rsidRPr="00C721EE">
        <w:t>.</w:t>
      </w:r>
    </w:p>
    <w:p w14:paraId="66AF1152" w14:textId="12839A10" w:rsidR="00372740" w:rsidRPr="00E53318" w:rsidRDefault="0068127D" w:rsidP="00A94922">
      <w:pPr>
        <w:pStyle w:val="Nadpis2"/>
      </w:pPr>
      <w:bookmarkStart w:id="15" w:name="_Toc95137623"/>
      <w:bookmarkStart w:id="16" w:name="_Toc155796880"/>
      <w:r w:rsidRPr="00E53318">
        <w:t>Vyhrazená změna závazku</w:t>
      </w:r>
      <w:bookmarkEnd w:id="15"/>
      <w:bookmarkEnd w:id="16"/>
    </w:p>
    <w:p w14:paraId="7B1D5C11" w14:textId="38D2886F" w:rsidR="00E53318" w:rsidRPr="00024831" w:rsidRDefault="00E53318" w:rsidP="00E53318">
      <w:pPr>
        <w:rPr>
          <w:lang w:eastAsia="cs-CZ"/>
        </w:rPr>
      </w:pPr>
      <w:bookmarkStart w:id="17" w:name="_Toc65670976"/>
      <w:r w:rsidRPr="00024831">
        <w:rPr>
          <w:b/>
          <w:lang w:eastAsia="cs-CZ"/>
        </w:rPr>
        <w:t xml:space="preserve">Varianta </w:t>
      </w:r>
      <w:r w:rsidR="001719D3" w:rsidRPr="00024831">
        <w:rPr>
          <w:b/>
          <w:lang w:eastAsia="cs-CZ"/>
        </w:rPr>
        <w:t>§ 100 odst. 1</w:t>
      </w:r>
      <w:r w:rsidRPr="00024831">
        <w:rPr>
          <w:b/>
          <w:lang w:eastAsia="cs-CZ"/>
        </w:rPr>
        <w:t>:</w:t>
      </w:r>
      <w:r w:rsidRPr="00024831">
        <w:rPr>
          <w:lang w:eastAsia="cs-CZ"/>
        </w:rPr>
        <w:t xml:space="preserve"> Zadavatel si </w:t>
      </w:r>
      <w:r w:rsidR="00D75E66" w:rsidRPr="00024831">
        <w:rPr>
          <w:lang w:eastAsia="cs-CZ"/>
        </w:rPr>
        <w:t xml:space="preserve">v souladu s § 100 odst. 1 ZZVZ </w:t>
      </w:r>
      <w:r w:rsidRPr="00024831">
        <w:rPr>
          <w:lang w:eastAsia="cs-CZ"/>
        </w:rPr>
        <w:t>vyhrazuje</w:t>
      </w:r>
      <w:r w:rsidR="00855A18" w:rsidRPr="00024831">
        <w:rPr>
          <w:lang w:eastAsia="cs-CZ"/>
        </w:rPr>
        <w:t>:</w:t>
      </w:r>
    </w:p>
    <w:p w14:paraId="3061F322" w14:textId="72E63056" w:rsidR="00E53318" w:rsidRPr="00024831" w:rsidRDefault="00E53318" w:rsidP="00285D79">
      <w:pPr>
        <w:pStyle w:val="Odstavecseseznamem"/>
        <w:numPr>
          <w:ilvl w:val="0"/>
          <w:numId w:val="4"/>
        </w:numPr>
      </w:pPr>
      <w:r w:rsidRPr="00024831">
        <w:rPr>
          <w:b/>
        </w:rPr>
        <w:t>prodloužení</w:t>
      </w:r>
      <w:r w:rsidRPr="00024831">
        <w:rPr>
          <w:rFonts w:asciiTheme="minorHAnsi" w:hAnsiTheme="minorHAnsi" w:cstheme="minorHAnsi"/>
          <w:b/>
        </w:rPr>
        <w:t xml:space="preserve"> </w:t>
      </w:r>
      <w:r w:rsidR="00553BEE" w:rsidRPr="00024831">
        <w:rPr>
          <w:rFonts w:asciiTheme="minorHAnsi" w:hAnsiTheme="minorHAnsi" w:cstheme="minorHAnsi"/>
          <w:b/>
          <w:lang w:eastAsia="cs-CZ"/>
        </w:rPr>
        <w:t>dodací lhůty</w:t>
      </w:r>
      <w:r w:rsidR="00553BEE" w:rsidRPr="00024831">
        <w:rPr>
          <w:rFonts w:asciiTheme="minorHAnsi" w:hAnsiTheme="minorHAnsi" w:cstheme="minorHAnsi"/>
          <w:lang w:eastAsia="cs-CZ"/>
        </w:rPr>
        <w:t xml:space="preserve"> v případě závažných okolností, jakými jsou zejména nouzový stav v důsledku pandemie, havárie, živelná katastrofa nebo válečný konflikt. Musí se jednat o zásadní, jednorázové a nikoli běžné okolnosti nebo události, které jsou nezávislé na vůli zadavatele a dodavatele. Prodloužení původní dodací lhůty nesmí být zapříčiněno vědomým jednáním zadavatele nebo dodavatele. Dodavatel musí předem objektivně odůvodnit, že překážka brání plnění smlouvy, dále prokazatelně doložit okamžik vzniku překážky a její předpokládané trvání. Následně bude uzavřen dodatek ke smlouvě. Dodací lhůta bude prodloužena o dobu trvání překážky, nejdéle o 30 kalendářních dnů. Trvá-li překážka déle, bude uzavřen nový dodatek se stejným pos</w:t>
      </w:r>
      <w:bookmarkStart w:id="18" w:name="_GoBack"/>
      <w:bookmarkEnd w:id="18"/>
      <w:r w:rsidR="00553BEE" w:rsidRPr="00024831">
        <w:rPr>
          <w:rFonts w:asciiTheme="minorHAnsi" w:hAnsiTheme="minorHAnsi" w:cstheme="minorHAnsi"/>
          <w:lang w:eastAsia="cs-CZ"/>
        </w:rPr>
        <w:t>tupem. Zadavatel neschválí prodloužení dodací lhůty v případě, že se jedná o překážku, které nemá zásadní vliv na poskytované plnění.</w:t>
      </w:r>
    </w:p>
    <w:p w14:paraId="78E7C459" w14:textId="382E214F" w:rsidR="00BB55C3" w:rsidRPr="00BB55C3" w:rsidRDefault="00BB55C3" w:rsidP="00BB55C3">
      <w:pPr>
        <w:spacing w:before="120"/>
        <w:rPr>
          <w:lang w:eastAsia="cs-CZ"/>
        </w:rPr>
      </w:pPr>
      <w:r w:rsidRPr="00024831">
        <w:rPr>
          <w:b/>
          <w:lang w:eastAsia="cs-CZ"/>
        </w:rPr>
        <w:t xml:space="preserve">Varianta </w:t>
      </w:r>
      <w:r w:rsidR="001719D3" w:rsidRPr="00024831">
        <w:rPr>
          <w:b/>
          <w:lang w:eastAsia="cs-CZ"/>
        </w:rPr>
        <w:t>§ 100 odst. 2</w:t>
      </w:r>
      <w:r w:rsidRPr="00024831">
        <w:rPr>
          <w:b/>
          <w:lang w:eastAsia="cs-CZ"/>
        </w:rPr>
        <w:t>:</w:t>
      </w:r>
      <w:r>
        <w:rPr>
          <w:lang w:eastAsia="cs-CZ"/>
        </w:rPr>
        <w:t xml:space="preserve"> Zadavatel si v souladu s </w:t>
      </w:r>
      <w:r w:rsidRPr="00BB55C3">
        <w:rPr>
          <w:lang w:eastAsia="cs-CZ"/>
        </w:rPr>
        <w:t>§ 100 odst. 2 ZZVZ vyhrazuje</w:t>
      </w:r>
      <w:r w:rsidR="00855A18">
        <w:rPr>
          <w:lang w:eastAsia="cs-CZ"/>
        </w:rPr>
        <w:t>:</w:t>
      </w:r>
    </w:p>
    <w:p w14:paraId="56EC893E" w14:textId="3A30F4C1" w:rsidR="00BB55C3" w:rsidRDefault="00BB55C3" w:rsidP="00BB55C3">
      <w:pPr>
        <w:spacing w:before="120"/>
        <w:ind w:left="708"/>
        <w:rPr>
          <w:rFonts w:asciiTheme="minorHAnsi" w:hAnsiTheme="minorHAnsi" w:cstheme="minorHAnsi"/>
          <w:lang w:eastAsia="cs-CZ"/>
        </w:rPr>
      </w:pPr>
      <w:r w:rsidRPr="00E94AE7">
        <w:rPr>
          <w:rFonts w:asciiTheme="minorHAnsi" w:hAnsiTheme="minorHAnsi" w:cstheme="minorHAnsi"/>
          <w:b/>
          <w:lang w:eastAsia="cs-CZ"/>
        </w:rPr>
        <w:t>nahrazení vybraného dodavatele dodavatelem dalším v pořadí</w:t>
      </w:r>
      <w:r w:rsidRPr="00E94AE7">
        <w:rPr>
          <w:rFonts w:asciiTheme="minorHAnsi" w:hAnsiTheme="minorHAnsi" w:cstheme="minorHAnsi"/>
          <w:lang w:eastAsia="cs-CZ"/>
        </w:rPr>
        <w:t xml:space="preserve"> v případě, že bude ukončena smlouva odstoupením nebo výpovědí z důvodu porušení povinností ze strany vybraného dodavatele. Po ukončení smlouvy zadavatel osloví dodavatele dalšího v pořadí a zašle mu k odsouhlasení návrh nové smlouvy, která odpovídá jeho nabídce. Bude-li další dodavatel souhlasit, uzavře s ním zadavatel novou smlouvu. Tento postup lze využít opakovaně</w:t>
      </w:r>
      <w:r>
        <w:rPr>
          <w:rFonts w:asciiTheme="minorHAnsi" w:hAnsiTheme="minorHAnsi" w:cstheme="minorHAnsi"/>
          <w:lang w:eastAsia="cs-CZ"/>
        </w:rPr>
        <w:t>.</w:t>
      </w:r>
    </w:p>
    <w:p w14:paraId="6DD12152" w14:textId="6E9752E3" w:rsidR="00BB55C3" w:rsidRDefault="00BB55C3" w:rsidP="00BB55C3">
      <w:pPr>
        <w:pStyle w:val="Odstavecseseznamem"/>
        <w:spacing w:after="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cs-CZ"/>
        </w:rPr>
        <w:t>V</w:t>
      </w:r>
      <w:r w:rsidRPr="00E94AE7">
        <w:rPr>
          <w:rFonts w:asciiTheme="minorHAnsi" w:hAnsiTheme="minorHAnsi" w:cstheme="minorHAnsi"/>
          <w:lang w:eastAsia="cs-CZ"/>
        </w:rPr>
        <w:t xml:space="preserve"> případě, že dojde v důsledku uplatnění výhrady podle § 100 odst. 2 zákona k uzavření nové smlouvy s dodavatelem dalším v pořadí, bude ve smlouvě upraven rozsah plnění vybraného dodavatele vč. záručních podmínek s ohledem na již realizovanou část </w:t>
      </w:r>
      <w:r w:rsidR="00024831" w:rsidRPr="00024831">
        <w:rPr>
          <w:rFonts w:asciiTheme="minorHAnsi" w:hAnsiTheme="minorHAnsi" w:cstheme="minorHAnsi"/>
          <w:lang w:eastAsia="cs-CZ"/>
        </w:rPr>
        <w:t>dodávek</w:t>
      </w:r>
      <w:r w:rsidRPr="00024831">
        <w:rPr>
          <w:rFonts w:asciiTheme="minorHAnsi" w:hAnsiTheme="minorHAnsi" w:cstheme="minorHAnsi"/>
          <w:lang w:eastAsia="cs-CZ"/>
        </w:rPr>
        <w:t xml:space="preserve"> tak, aby smlouva včetně příloh odpovídala nerealizované části dodávek.</w:t>
      </w:r>
    </w:p>
    <w:p w14:paraId="32D9159F" w14:textId="06DEB67B" w:rsidR="00E113C7" w:rsidRDefault="00E113C7" w:rsidP="00E113C7">
      <w:pPr>
        <w:pStyle w:val="Nadpis1"/>
        <w:shd w:val="clear" w:color="auto" w:fill="D9D9D9" w:themeFill="background1" w:themeFillShade="D9"/>
        <w:jc w:val="left"/>
      </w:pPr>
      <w:bookmarkStart w:id="19" w:name="_KVALIFIKACE_1"/>
      <w:bookmarkStart w:id="20" w:name="_Toc95137624"/>
      <w:bookmarkStart w:id="21" w:name="_Toc155796881"/>
      <w:bookmarkEnd w:id="19"/>
      <w:r w:rsidRPr="00FF2A5B">
        <w:t>KVALIFIKACE</w:t>
      </w:r>
      <w:bookmarkEnd w:id="17"/>
      <w:bookmarkEnd w:id="20"/>
      <w:bookmarkEnd w:id="21"/>
    </w:p>
    <w:p w14:paraId="19EC85DB" w14:textId="6F6FCC43" w:rsidR="00BC7AB3" w:rsidRDefault="00E113C7" w:rsidP="001068E9">
      <w:pPr>
        <w:rPr>
          <w:lang w:eastAsia="cs-CZ"/>
        </w:rPr>
      </w:pPr>
      <w:r w:rsidRPr="001068E9">
        <w:rPr>
          <w:lang w:eastAsia="cs-CZ"/>
        </w:rPr>
        <w:t>Dodavatel prokáže splnění základní</w:t>
      </w:r>
      <w:r w:rsidR="00BC7AB3">
        <w:rPr>
          <w:lang w:eastAsia="cs-CZ"/>
        </w:rPr>
        <w:t xml:space="preserve"> způsobilosti</w:t>
      </w:r>
      <w:r w:rsidRPr="001068E9">
        <w:rPr>
          <w:lang w:eastAsia="cs-CZ"/>
        </w:rPr>
        <w:t>, profesní způso</w:t>
      </w:r>
      <w:r w:rsidR="00F10ACA" w:rsidRPr="001068E9">
        <w:rPr>
          <w:lang w:eastAsia="cs-CZ"/>
        </w:rPr>
        <w:t>bilosti a tec</w:t>
      </w:r>
      <w:r w:rsidR="00667F05">
        <w:rPr>
          <w:lang w:eastAsia="cs-CZ"/>
        </w:rPr>
        <w:t>hnické kvalifikace předložením Č</w:t>
      </w:r>
      <w:r w:rsidR="00F10ACA" w:rsidRPr="001068E9">
        <w:rPr>
          <w:lang w:eastAsia="cs-CZ"/>
        </w:rPr>
        <w:t xml:space="preserve">estného prohlášení podle Přílohy č. 4 </w:t>
      </w:r>
      <w:r w:rsidR="00BC7AB3">
        <w:rPr>
          <w:lang w:eastAsia="cs-CZ"/>
        </w:rPr>
        <w:t>ZD</w:t>
      </w:r>
      <w:r w:rsidR="00F10ACA" w:rsidRPr="001068E9">
        <w:rPr>
          <w:lang w:eastAsia="cs-CZ"/>
        </w:rPr>
        <w:t>.</w:t>
      </w:r>
      <w:r w:rsidR="00F10ACA">
        <w:rPr>
          <w:lang w:eastAsia="cs-CZ"/>
        </w:rPr>
        <w:t xml:space="preserve"> </w:t>
      </w:r>
      <w:r w:rsidR="00BC7AB3">
        <w:rPr>
          <w:lang w:eastAsia="cs-CZ"/>
        </w:rPr>
        <w:t xml:space="preserve">Konkrétní požadavky na základní </w:t>
      </w:r>
      <w:r w:rsidR="00BC7AB3" w:rsidRPr="001068E9">
        <w:rPr>
          <w:lang w:eastAsia="cs-CZ"/>
        </w:rPr>
        <w:t>způso</w:t>
      </w:r>
      <w:r w:rsidR="00BC7AB3">
        <w:rPr>
          <w:lang w:eastAsia="cs-CZ"/>
        </w:rPr>
        <w:t>bilost, profesní způsobilost a technickou kvalifikaci jsou stanoveny v Příloze č. 4 ZD.</w:t>
      </w:r>
      <w:r w:rsidR="001068E9">
        <w:rPr>
          <w:lang w:eastAsia="cs-CZ"/>
        </w:rPr>
        <w:t xml:space="preserve"> </w:t>
      </w:r>
    </w:p>
    <w:p w14:paraId="0CD3C27E" w14:textId="2379849B" w:rsidR="00E113C7" w:rsidRDefault="001068E9" w:rsidP="001068E9">
      <w:pPr>
        <w:rPr>
          <w:lang w:eastAsia="cs-CZ"/>
        </w:rPr>
      </w:pPr>
      <w:r>
        <w:rPr>
          <w:lang w:eastAsia="cs-CZ"/>
        </w:rPr>
        <w:t xml:space="preserve">Podrobnosti ke kvalifikaci a možné způsoby prokazování kvalifikace jsou uvedeny v </w:t>
      </w:r>
      <w:r w:rsidR="00CD5B12">
        <w:t>Obecných podmínkách zadávacího řízení</w:t>
      </w:r>
      <w:r>
        <w:t xml:space="preserve">. </w:t>
      </w:r>
      <w:hyperlink w:anchor="_KVALIFIKACE" w:history="1">
        <w:r w:rsidRPr="00345C9B">
          <w:rPr>
            <w:rStyle w:val="Hypertextovodkaz"/>
            <w:sz w:val="18"/>
            <w:szCs w:val="18"/>
          </w:rPr>
          <w:t>ODKAZ</w:t>
        </w:r>
      </w:hyperlink>
    </w:p>
    <w:p w14:paraId="5A47EF54" w14:textId="77777777" w:rsidR="00563455" w:rsidRPr="00563455" w:rsidRDefault="00563455" w:rsidP="00563455">
      <w:pPr>
        <w:pStyle w:val="Nadpis1"/>
      </w:pPr>
      <w:bookmarkStart w:id="22" w:name="_OBCHODNÍ_PODMÍNKY_1"/>
      <w:bookmarkStart w:id="23" w:name="_Toc65670989"/>
      <w:bookmarkStart w:id="24" w:name="_Toc95137635"/>
      <w:bookmarkStart w:id="25" w:name="_Toc155796882"/>
      <w:bookmarkEnd w:id="22"/>
      <w:r w:rsidRPr="00563455">
        <w:t>OBCHODNÍ PODMÍNKY</w:t>
      </w:r>
      <w:bookmarkEnd w:id="23"/>
      <w:bookmarkEnd w:id="24"/>
      <w:bookmarkEnd w:id="25"/>
    </w:p>
    <w:p w14:paraId="485F5459" w14:textId="77777777" w:rsidR="00F93DE0" w:rsidRDefault="00563455" w:rsidP="00F93DE0">
      <w:r w:rsidRPr="00715AB4">
        <w:t>Závazné obchodní</w:t>
      </w:r>
      <w:r w:rsidR="000677E7">
        <w:t xml:space="preserve"> </w:t>
      </w:r>
      <w:r w:rsidRPr="00715AB4">
        <w:t xml:space="preserve">podmínky jsou </w:t>
      </w:r>
      <w:r w:rsidR="00572EF6">
        <w:t>podrobně vymezeny</w:t>
      </w:r>
      <w:r w:rsidRPr="00715AB4">
        <w:t xml:space="preserve"> v </w:t>
      </w:r>
      <w:r w:rsidR="00BC7AB3">
        <w:t>N</w:t>
      </w:r>
      <w:r w:rsidRPr="00715AB4">
        <w:t xml:space="preserve">ávrhu </w:t>
      </w:r>
      <w:r w:rsidR="00BC7AB3">
        <w:t>s</w:t>
      </w:r>
      <w:r w:rsidRPr="00D9699A">
        <w:t>mlouvy (Příloha č.</w:t>
      </w:r>
      <w:r>
        <w:t xml:space="preserve"> </w:t>
      </w:r>
      <w:r w:rsidR="00BC7AB3">
        <w:t>3</w:t>
      </w:r>
      <w:r w:rsidRPr="00D9699A">
        <w:t xml:space="preserve"> ZD).</w:t>
      </w:r>
      <w:r>
        <w:t xml:space="preserve"> </w:t>
      </w:r>
    </w:p>
    <w:p w14:paraId="3A618B66" w14:textId="37A40E7A" w:rsidR="00EC0D38" w:rsidRDefault="00572EF6" w:rsidP="00563455">
      <w:pPr>
        <w:rPr>
          <w:rFonts w:cs="Calibri"/>
        </w:rPr>
      </w:pPr>
      <w:r w:rsidRPr="00431971">
        <w:rPr>
          <w:rFonts w:cs="Calibri"/>
        </w:rPr>
        <w:lastRenderedPageBreak/>
        <w:t xml:space="preserve">Účastník </w:t>
      </w:r>
      <w:r w:rsidR="006A0A22" w:rsidRPr="00431971">
        <w:rPr>
          <w:rFonts w:cs="Calibri"/>
        </w:rPr>
        <w:t>zadávacího</w:t>
      </w:r>
      <w:r w:rsidRPr="00431971">
        <w:rPr>
          <w:rFonts w:cs="Calibri"/>
        </w:rPr>
        <w:t xml:space="preserve"> řízení v </w:t>
      </w:r>
      <w:r w:rsidR="001068E9" w:rsidRPr="00431971">
        <w:rPr>
          <w:rFonts w:cs="Calibri"/>
        </w:rPr>
        <w:t xml:space="preserve">Příloze č. </w:t>
      </w:r>
      <w:r w:rsidR="004D5CC7">
        <w:rPr>
          <w:rFonts w:cs="Calibri"/>
        </w:rPr>
        <w:t>4</w:t>
      </w:r>
      <w:r w:rsidR="001068E9" w:rsidRPr="00431971">
        <w:rPr>
          <w:rFonts w:cs="Calibri"/>
        </w:rPr>
        <w:t xml:space="preserve"> </w:t>
      </w:r>
      <w:r w:rsidR="00EC0D38">
        <w:rPr>
          <w:rFonts w:cs="Calibri"/>
        </w:rPr>
        <w:t>ZD</w:t>
      </w:r>
      <w:r w:rsidR="001068E9" w:rsidRPr="00431971">
        <w:rPr>
          <w:rFonts w:cs="Calibri"/>
        </w:rPr>
        <w:t xml:space="preserve"> </w:t>
      </w:r>
      <w:r w:rsidRPr="00431971">
        <w:rPr>
          <w:rFonts w:cs="Calibri"/>
        </w:rPr>
        <w:t>čestně prohlásí, že Smlouvu bezvýhradně akceptuje a je jí plně vázán. Porušení této povinnosti bude posuzováno jako nesplnění požadavků zadavatele a může být důvodem pro vyloučení dodavatele.</w:t>
      </w:r>
    </w:p>
    <w:p w14:paraId="45497CA9" w14:textId="382CF180" w:rsidR="007F3700" w:rsidRPr="00B33BB1" w:rsidRDefault="007F3700" w:rsidP="00563455">
      <w:pPr>
        <w:rPr>
          <w:rFonts w:cs="Calibri"/>
        </w:rPr>
      </w:pPr>
      <w:r>
        <w:rPr>
          <w:rFonts w:cs="Calibri"/>
        </w:rPr>
        <w:t xml:space="preserve">Podrobnosti k obchodním podmínkám jsou uvedeny v Obecných podmínkách zadávacího řízení. </w:t>
      </w:r>
      <w:hyperlink w:anchor="_OBCHODNÍ_PODMÍNKY" w:history="1">
        <w:r w:rsidRPr="007F3700">
          <w:rPr>
            <w:rStyle w:val="Hypertextovodkaz"/>
            <w:rFonts w:cs="Calibri"/>
            <w:sz w:val="18"/>
          </w:rPr>
          <w:t>ODKAZ</w:t>
        </w:r>
      </w:hyperlink>
    </w:p>
    <w:p w14:paraId="7EF5B81E" w14:textId="4B9885AB" w:rsidR="00736309" w:rsidRPr="00736309" w:rsidRDefault="00DF29A1" w:rsidP="00736309">
      <w:pPr>
        <w:pStyle w:val="Nadpis1"/>
      </w:pPr>
      <w:bookmarkStart w:id="26" w:name="_DALŠÍ_PODMÍNKY_ZADÁVACÍHO_1"/>
      <w:bookmarkStart w:id="27" w:name="_Toc41645105"/>
      <w:bookmarkStart w:id="28" w:name="_Toc65670990"/>
      <w:bookmarkStart w:id="29" w:name="_Toc95137636"/>
      <w:bookmarkStart w:id="30" w:name="_Toc155796883"/>
      <w:bookmarkEnd w:id="26"/>
      <w:r>
        <w:t>DALŠÍ PODMÍNKY ZADÁVACÍHO ŘÍZENÍ</w:t>
      </w:r>
      <w:bookmarkEnd w:id="27"/>
      <w:bookmarkEnd w:id="28"/>
      <w:bookmarkEnd w:id="29"/>
      <w:bookmarkEnd w:id="30"/>
    </w:p>
    <w:p w14:paraId="33A559F3" w14:textId="77777777" w:rsidR="00736309" w:rsidRPr="00736309" w:rsidRDefault="00736309" w:rsidP="00A94922">
      <w:pPr>
        <w:pStyle w:val="Nadpis2"/>
      </w:pPr>
      <w:bookmarkStart w:id="31" w:name="_Jistota_1"/>
      <w:bookmarkStart w:id="32" w:name="_Toc65670991"/>
      <w:bookmarkStart w:id="33" w:name="_Toc95137637"/>
      <w:bookmarkStart w:id="34" w:name="_Toc155796884"/>
      <w:bookmarkEnd w:id="31"/>
      <w:r w:rsidRPr="00736309">
        <w:t>Jistota</w:t>
      </w:r>
      <w:bookmarkEnd w:id="32"/>
      <w:bookmarkEnd w:id="33"/>
      <w:bookmarkEnd w:id="34"/>
    </w:p>
    <w:p w14:paraId="32E7A026" w14:textId="6047E67E" w:rsidR="001D009D" w:rsidRDefault="00CF4173" w:rsidP="00A80E43">
      <w:pPr>
        <w:spacing w:before="120"/>
      </w:pPr>
      <w:r w:rsidRPr="001D009D">
        <w:t>Zadavatel nepožaduje poskytnutí jistoty.</w:t>
      </w:r>
    </w:p>
    <w:p w14:paraId="76A0E025" w14:textId="581BF86B" w:rsidR="007F3700" w:rsidRDefault="007F3700" w:rsidP="00B84618">
      <w:r w:rsidRPr="0027510D">
        <w:rPr>
          <w:lang w:eastAsia="cs-CZ"/>
        </w:rPr>
        <w:t>Podrobnosti k</w:t>
      </w:r>
      <w:r>
        <w:rPr>
          <w:lang w:eastAsia="cs-CZ"/>
        </w:rPr>
        <w:t xml:space="preserve"> poskytnutí jistoty </w:t>
      </w:r>
      <w:r w:rsidRPr="0027510D">
        <w:rPr>
          <w:lang w:eastAsia="cs-CZ"/>
        </w:rPr>
        <w:t xml:space="preserve">jsou uvedeny v </w:t>
      </w:r>
      <w:r w:rsidRPr="0027510D">
        <w:t>Obecných podmínkách zadávacího řízení</w:t>
      </w:r>
      <w:r>
        <w:t xml:space="preserve">. </w:t>
      </w:r>
      <w:hyperlink w:anchor="_Jistota" w:history="1">
        <w:r w:rsidRPr="007F3700">
          <w:rPr>
            <w:rStyle w:val="Hypertextovodkaz"/>
            <w:sz w:val="18"/>
          </w:rPr>
          <w:t>ODKAZ</w:t>
        </w:r>
      </w:hyperlink>
    </w:p>
    <w:p w14:paraId="2C1975A4" w14:textId="77777777" w:rsidR="00736309" w:rsidRPr="00736309" w:rsidRDefault="00736309" w:rsidP="00A94922">
      <w:pPr>
        <w:pStyle w:val="Nadpis2"/>
      </w:pPr>
      <w:bookmarkStart w:id="35" w:name="_Zadávací_lhůta_1"/>
      <w:bookmarkStart w:id="36" w:name="_Toc65670993"/>
      <w:bookmarkStart w:id="37" w:name="_Toc95137639"/>
      <w:bookmarkStart w:id="38" w:name="_Toc155796885"/>
      <w:bookmarkEnd w:id="35"/>
      <w:r w:rsidRPr="00736309">
        <w:t>Zadávací lhůta</w:t>
      </w:r>
      <w:bookmarkEnd w:id="36"/>
      <w:bookmarkEnd w:id="37"/>
      <w:bookmarkEnd w:id="38"/>
    </w:p>
    <w:p w14:paraId="1CC5E9C1" w14:textId="2B3393FE" w:rsidR="00CF4173" w:rsidRPr="00CF4173" w:rsidRDefault="00CF4173" w:rsidP="001D009D">
      <w:pPr>
        <w:pStyle w:val="Bezmezer"/>
        <w:rPr>
          <w:color w:val="000000" w:themeColor="text1"/>
          <w:lang w:eastAsia="cs-CZ"/>
        </w:rPr>
      </w:pPr>
      <w:r w:rsidRPr="001D009D">
        <w:rPr>
          <w:color w:val="000000" w:themeColor="text1"/>
          <w:lang w:eastAsia="cs-CZ"/>
        </w:rPr>
        <w:t>Zadavatel nestanovil zadávací lhůtu.</w:t>
      </w:r>
    </w:p>
    <w:p w14:paraId="25BED324" w14:textId="2331E6A5" w:rsidR="00721A97" w:rsidRPr="00311ABB" w:rsidRDefault="00B33BB1" w:rsidP="00A80E43">
      <w:pPr>
        <w:spacing w:before="120"/>
        <w:rPr>
          <w:strike/>
        </w:rPr>
      </w:pPr>
      <w:bookmarkStart w:id="39" w:name="_Toc65670994"/>
      <w:bookmarkStart w:id="40" w:name="_Toc95137640"/>
      <w:r w:rsidRPr="0027510D">
        <w:rPr>
          <w:lang w:eastAsia="cs-CZ"/>
        </w:rPr>
        <w:t>Podrobnosti k</w:t>
      </w:r>
      <w:r w:rsidR="007F3700">
        <w:rPr>
          <w:lang w:eastAsia="cs-CZ"/>
        </w:rPr>
        <w:t xml:space="preserve"> </w:t>
      </w:r>
      <w:r w:rsidRPr="0027510D">
        <w:rPr>
          <w:lang w:eastAsia="cs-CZ"/>
        </w:rPr>
        <w:t xml:space="preserve">zadávací lhůtě jsou uvedeny v </w:t>
      </w:r>
      <w:r w:rsidRPr="0027510D">
        <w:t>Obecných podmínkách zadávacího řízení</w:t>
      </w:r>
      <w:r w:rsidR="007F3700">
        <w:t xml:space="preserve">. </w:t>
      </w:r>
      <w:hyperlink w:anchor="_Zadávací_lhůta" w:history="1">
        <w:r w:rsidR="007F3700" w:rsidRPr="007F3700">
          <w:rPr>
            <w:rStyle w:val="Hypertextovodkaz"/>
            <w:sz w:val="18"/>
          </w:rPr>
          <w:t>ODKAZ</w:t>
        </w:r>
      </w:hyperlink>
    </w:p>
    <w:p w14:paraId="379E25F5" w14:textId="06301244" w:rsidR="00736309" w:rsidRPr="00736309" w:rsidRDefault="00736309" w:rsidP="00A94922">
      <w:pPr>
        <w:pStyle w:val="Nadpis2"/>
      </w:pPr>
      <w:bookmarkStart w:id="41" w:name="_Prohlídka_místa_plnění_1"/>
      <w:bookmarkStart w:id="42" w:name="_Toc155796886"/>
      <w:bookmarkEnd w:id="41"/>
      <w:r w:rsidRPr="00736309">
        <w:t xml:space="preserve">Prohlídka místa </w:t>
      </w:r>
      <w:bookmarkEnd w:id="39"/>
      <w:bookmarkEnd w:id="40"/>
      <w:r w:rsidR="00C26516" w:rsidRPr="00736309">
        <w:t>plnění</w:t>
      </w:r>
      <w:bookmarkEnd w:id="42"/>
    </w:p>
    <w:p w14:paraId="74138156" w14:textId="1B5445C9" w:rsidR="00E94EA9" w:rsidRDefault="008C4315" w:rsidP="00736309">
      <w:pPr>
        <w:rPr>
          <w:b/>
          <w:color w:val="FF0000"/>
        </w:rPr>
      </w:pPr>
      <w:r w:rsidRPr="008C4315">
        <w:t xml:space="preserve">Prohlídka místa plnění se bude konat dle individuálních potřeb. Zájemce o prohlídku kontaktuje </w:t>
      </w:r>
      <w:r>
        <w:t xml:space="preserve">telefonicky </w:t>
      </w:r>
      <w:r w:rsidRPr="008C4315">
        <w:t>zástupce zadavatele</w:t>
      </w:r>
      <w:r>
        <w:t>: Ing. Pavla Tesařová</w:t>
      </w:r>
      <w:r w:rsidRPr="008C4315">
        <w:t xml:space="preserve">, </w:t>
      </w:r>
      <w:r>
        <w:t xml:space="preserve">Tel.: </w:t>
      </w:r>
      <w:r w:rsidRPr="008C4315">
        <w:t>+420 378 015 233  v dostatečném předstihu před uplynutím lhůty k podání nabídek a sjedná si individuální prohlídku. Prohlídka místa plnění se bude konat nejpozději 5 pracovních dnů před koncem lhůty k podání nabídek.</w:t>
      </w:r>
    </w:p>
    <w:p w14:paraId="3D3A192E" w14:textId="125B518E" w:rsidR="003754E9" w:rsidRDefault="003754E9" w:rsidP="003754E9">
      <w:pPr>
        <w:rPr>
          <w:lang w:eastAsia="cs-CZ"/>
        </w:rPr>
      </w:pPr>
      <w:r w:rsidRPr="00B33BB1">
        <w:rPr>
          <w:lang w:eastAsia="cs-CZ"/>
        </w:rPr>
        <w:t xml:space="preserve">Podrobnosti k prohlídce místa plnění jsou uvedeny v </w:t>
      </w:r>
      <w:r w:rsidR="00CD5B12" w:rsidRPr="00B33BB1">
        <w:t>Obecných podmínkách zadávacího řízení</w:t>
      </w:r>
      <w:r>
        <w:t>.</w:t>
      </w:r>
      <w:r w:rsidRPr="00F3632E">
        <w:rPr>
          <w:sz w:val="18"/>
        </w:rPr>
        <w:t xml:space="preserve"> </w:t>
      </w:r>
      <w:hyperlink w:anchor="_Prohlídka_místa_plnění" w:history="1">
        <w:r w:rsidR="00F52C8E" w:rsidRPr="00F52C8E">
          <w:rPr>
            <w:rStyle w:val="Hypertextovodkaz"/>
            <w:sz w:val="18"/>
          </w:rPr>
          <w:t>ODKAZ</w:t>
        </w:r>
      </w:hyperlink>
    </w:p>
    <w:p w14:paraId="40C1B506" w14:textId="1F7BC441" w:rsidR="00721A97" w:rsidRDefault="00721A97" w:rsidP="00A94922">
      <w:pPr>
        <w:pStyle w:val="Nadpis2"/>
      </w:pPr>
      <w:bookmarkStart w:id="43" w:name="_Pojištění_1"/>
      <w:bookmarkStart w:id="44" w:name="_Toc155796887"/>
      <w:bookmarkStart w:id="45" w:name="_Toc65670996"/>
      <w:bookmarkStart w:id="46" w:name="_Toc95137642"/>
      <w:bookmarkEnd w:id="43"/>
      <w:r>
        <w:t>Pojištění</w:t>
      </w:r>
      <w:bookmarkEnd w:id="44"/>
    </w:p>
    <w:p w14:paraId="530C71EF" w14:textId="379198C5" w:rsidR="00721A97" w:rsidRDefault="00DC2F40" w:rsidP="006C44D8">
      <w:pPr>
        <w:rPr>
          <w:bCs/>
        </w:rPr>
      </w:pPr>
      <w:r w:rsidRPr="000001BB">
        <w:rPr>
          <w:lang w:eastAsia="cs-CZ"/>
        </w:rPr>
        <w:t xml:space="preserve">Zadavatel požaduje, aby byl vybraný dodavatel pojištěn pro případ škody na předmětu zakázky a majetku zadavatele. Předmětem pojištění bude </w:t>
      </w:r>
      <w:r w:rsidR="00F13CF7">
        <w:rPr>
          <w:lang w:eastAsia="cs-CZ"/>
        </w:rPr>
        <w:t>Obecné pojištění odpovědnosti za škodu</w:t>
      </w:r>
      <w:r w:rsidRPr="000001BB">
        <w:rPr>
          <w:lang w:eastAsia="cs-CZ"/>
        </w:rPr>
        <w:t xml:space="preserve"> s limitem pojistného plnění min. </w:t>
      </w:r>
      <w:r w:rsidR="00F13CF7">
        <w:rPr>
          <w:lang w:eastAsia="cs-CZ"/>
        </w:rPr>
        <w:t>500 000,-</w:t>
      </w:r>
      <w:r w:rsidRPr="000001BB">
        <w:rPr>
          <w:lang w:eastAsia="cs-CZ"/>
        </w:rPr>
        <w:t xml:space="preserve"> Kč.</w:t>
      </w:r>
    </w:p>
    <w:p w14:paraId="0130B143" w14:textId="7D758263" w:rsidR="00F3632E" w:rsidRDefault="00F3632E" w:rsidP="006C44D8">
      <w:pPr>
        <w:rPr>
          <w:rStyle w:val="Hypertextovodkaz"/>
          <w:bCs/>
          <w:sz w:val="18"/>
        </w:rPr>
      </w:pPr>
      <w:r w:rsidRPr="00B33BB1">
        <w:rPr>
          <w:bCs/>
        </w:rPr>
        <w:t>Podrobnosti k pojištění jsou uvedeny v Obecných podmínkách zadávacího řízení.</w:t>
      </w:r>
      <w:r>
        <w:rPr>
          <w:bCs/>
        </w:rPr>
        <w:t xml:space="preserve"> </w:t>
      </w:r>
      <w:hyperlink w:anchor="_Pojištění" w:history="1">
        <w:r w:rsidR="00F52C8E" w:rsidRPr="00F52C8E">
          <w:rPr>
            <w:rStyle w:val="Hypertextovodkaz"/>
            <w:bCs/>
            <w:sz w:val="18"/>
          </w:rPr>
          <w:t>ODKAZ</w:t>
        </w:r>
      </w:hyperlink>
    </w:p>
    <w:p w14:paraId="7D4639D7" w14:textId="5E24BA31" w:rsidR="009B7F1E" w:rsidRDefault="009B7F1E" w:rsidP="00A94922">
      <w:pPr>
        <w:pStyle w:val="Nadpis2"/>
      </w:pPr>
      <w:bookmarkStart w:id="47" w:name="_Toc155796888"/>
      <w:r>
        <w:t>Vzorek</w:t>
      </w:r>
      <w:bookmarkEnd w:id="47"/>
    </w:p>
    <w:p w14:paraId="7EEC13B0" w14:textId="6F579F7B" w:rsidR="009B7F1E" w:rsidRDefault="009B7F1E" w:rsidP="009B7F1E">
      <w:pPr>
        <w:pStyle w:val="Bezmezer"/>
        <w:spacing w:after="120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Zadavatel nepožaduje předložení vzorku.</w:t>
      </w:r>
    </w:p>
    <w:p w14:paraId="4207DB9E" w14:textId="1BAE94B1" w:rsidR="009B7F1E" w:rsidRDefault="009B7F1E" w:rsidP="00A94922">
      <w:pPr>
        <w:pStyle w:val="Nadpis2"/>
      </w:pPr>
      <w:bookmarkStart w:id="48" w:name="_Toc155796889"/>
      <w:r>
        <w:t>Dotazník</w:t>
      </w:r>
      <w:bookmarkEnd w:id="48"/>
    </w:p>
    <w:p w14:paraId="278E1C19" w14:textId="0F8E34D0" w:rsidR="009B7F1E" w:rsidRDefault="009B7F1E" w:rsidP="009B7F1E">
      <w:pPr>
        <w:rPr>
          <w:lang w:eastAsia="cs-CZ"/>
        </w:rPr>
      </w:pPr>
      <w:r>
        <w:rPr>
          <w:lang w:eastAsia="cs-CZ"/>
        </w:rPr>
        <w:t>Zadavatel nepožaduje předložení dotazníku.</w:t>
      </w:r>
    </w:p>
    <w:p w14:paraId="1878EA4E" w14:textId="77777777" w:rsidR="00216C70" w:rsidRPr="00216C70" w:rsidRDefault="00216C70" w:rsidP="00216C70">
      <w:pPr>
        <w:pStyle w:val="Nadpis1"/>
      </w:pPr>
      <w:bookmarkStart w:id="49" w:name="_Toc144881305"/>
      <w:bookmarkStart w:id="50" w:name="_NABÍDKOVÁ_CENA_1"/>
      <w:bookmarkStart w:id="51" w:name="_Toc65670997"/>
      <w:bookmarkStart w:id="52" w:name="_Toc95137643"/>
      <w:bookmarkStart w:id="53" w:name="_Toc155796890"/>
      <w:bookmarkEnd w:id="45"/>
      <w:bookmarkEnd w:id="46"/>
      <w:bookmarkEnd w:id="49"/>
      <w:bookmarkEnd w:id="50"/>
      <w:r w:rsidRPr="00216C70">
        <w:t>NABÍDKOVÁ CENA</w:t>
      </w:r>
      <w:bookmarkEnd w:id="51"/>
      <w:bookmarkEnd w:id="52"/>
      <w:bookmarkEnd w:id="53"/>
    </w:p>
    <w:p w14:paraId="71C16A61" w14:textId="77777777" w:rsidR="00216C70" w:rsidRPr="00216C70" w:rsidRDefault="00216C70" w:rsidP="00A94922">
      <w:pPr>
        <w:pStyle w:val="Nadpis2"/>
      </w:pPr>
      <w:bookmarkStart w:id="54" w:name="_Toc65670998"/>
      <w:bookmarkStart w:id="55" w:name="_Toc95137644"/>
      <w:bookmarkStart w:id="56" w:name="_Toc155796891"/>
      <w:r w:rsidRPr="00216C70">
        <w:t>Zpracování nabídkové ceny</w:t>
      </w:r>
      <w:bookmarkEnd w:id="54"/>
      <w:bookmarkEnd w:id="55"/>
      <w:bookmarkEnd w:id="56"/>
    </w:p>
    <w:p w14:paraId="3FBAA1B2" w14:textId="57305650" w:rsidR="003754E9" w:rsidRDefault="003754E9" w:rsidP="003754E9">
      <w:r>
        <w:t>D</w:t>
      </w:r>
      <w:r w:rsidRPr="0034325C">
        <w:t xml:space="preserve">odavatel </w:t>
      </w:r>
      <w:r w:rsidR="004D3032">
        <w:t>zpracuje nabídkovou cenu vyplněním Krycího listu (Příloha č. 1 ZD) a tabulky Technické specifikace (Příloha č. 2 ZD),</w:t>
      </w:r>
      <w:r w:rsidR="004D3032">
        <w:rPr>
          <w:b/>
        </w:rPr>
        <w:t xml:space="preserve"> </w:t>
      </w:r>
      <w:r w:rsidR="004D3032">
        <w:t>ve kterých vyplní požadované údaje</w:t>
      </w:r>
      <w:r>
        <w:t>.</w:t>
      </w:r>
      <w:r w:rsidRPr="0034325C">
        <w:t xml:space="preserve"> </w:t>
      </w:r>
    </w:p>
    <w:p w14:paraId="19111972" w14:textId="676BEEEA" w:rsidR="003754E9" w:rsidRPr="0034325C" w:rsidRDefault="003754E9" w:rsidP="003754E9">
      <w:r w:rsidRPr="00B33BB1">
        <w:t xml:space="preserve">Požadavky na zpracování nabídkové ceny jsou uvedeny v </w:t>
      </w:r>
      <w:r w:rsidR="00CD5B12" w:rsidRPr="00B33BB1">
        <w:t>Obecných podmínkách zadávacího řízení</w:t>
      </w:r>
      <w:r w:rsidRPr="003754E9">
        <w:t xml:space="preserve">. </w:t>
      </w:r>
      <w:hyperlink w:anchor="_NABÍDKOVÁ_CENA" w:history="1">
        <w:r w:rsidRPr="00F17587">
          <w:rPr>
            <w:rStyle w:val="Hypertextovodkaz"/>
            <w:sz w:val="18"/>
          </w:rPr>
          <w:t>ODKAZ</w:t>
        </w:r>
      </w:hyperlink>
    </w:p>
    <w:p w14:paraId="7B36380F" w14:textId="77777777" w:rsidR="00216C70" w:rsidRPr="00216C70" w:rsidRDefault="00216C70" w:rsidP="00A94922">
      <w:pPr>
        <w:pStyle w:val="Nadpis2"/>
      </w:pPr>
      <w:bookmarkStart w:id="57" w:name="_Toc95137645"/>
      <w:bookmarkStart w:id="58" w:name="_Toc155796892"/>
      <w:r w:rsidRPr="00216C70">
        <w:t>Limitace nabídkové ceny</w:t>
      </w:r>
      <w:bookmarkEnd w:id="57"/>
      <w:bookmarkEnd w:id="58"/>
    </w:p>
    <w:p w14:paraId="772C255C" w14:textId="44E6183B" w:rsidR="004B2B4E" w:rsidRPr="00CF4173" w:rsidRDefault="004B2B4E" w:rsidP="004B2B4E">
      <w:pPr>
        <w:pStyle w:val="Bezmezer"/>
        <w:rPr>
          <w:color w:val="000000" w:themeColor="text1"/>
          <w:lang w:eastAsia="cs-CZ"/>
        </w:rPr>
      </w:pPr>
      <w:r>
        <w:rPr>
          <w:color w:val="000000" w:themeColor="text1"/>
          <w:lang w:eastAsia="cs-CZ"/>
        </w:rPr>
        <w:t>Nabídková cena není limitována.</w:t>
      </w:r>
    </w:p>
    <w:p w14:paraId="405B2EC2" w14:textId="77777777" w:rsidR="00216C70" w:rsidRPr="00216C70" w:rsidRDefault="00216C70" w:rsidP="00A94922">
      <w:pPr>
        <w:pStyle w:val="Nadpis2"/>
      </w:pPr>
      <w:bookmarkStart w:id="59" w:name="_Toc65671000"/>
      <w:bookmarkStart w:id="60" w:name="_Toc95137646"/>
      <w:bookmarkStart w:id="61" w:name="_Toc155796893"/>
      <w:r w:rsidRPr="00216C70">
        <w:lastRenderedPageBreak/>
        <w:t>Mimořádně nízká nabídková cena</w:t>
      </w:r>
      <w:bookmarkEnd w:id="59"/>
      <w:bookmarkEnd w:id="60"/>
      <w:bookmarkEnd w:id="61"/>
    </w:p>
    <w:p w14:paraId="051DADEF" w14:textId="4A3C7B41" w:rsidR="00216C70" w:rsidRPr="00EF43A3" w:rsidRDefault="00216C70" w:rsidP="00F52C8E">
      <w:pPr>
        <w:spacing w:before="120"/>
      </w:pPr>
      <w:r>
        <w:t>Z</w:t>
      </w:r>
      <w:r w:rsidRPr="00EF43A3">
        <w:t>adavatel nestanovil mimořádně nízkou nabídkovou cenu.</w:t>
      </w:r>
    </w:p>
    <w:p w14:paraId="7AE84F2E" w14:textId="0911FDB8" w:rsidR="00216C70" w:rsidRPr="00216C70" w:rsidRDefault="00216C70" w:rsidP="00216C70">
      <w:pPr>
        <w:pStyle w:val="Nadpis1"/>
      </w:pPr>
      <w:bookmarkStart w:id="62" w:name="_HODNOCENÍ_1"/>
      <w:bookmarkStart w:id="63" w:name="_HODNOCENÍ_A_POSOUZENÍ"/>
      <w:bookmarkStart w:id="64" w:name="_Toc65671001"/>
      <w:bookmarkStart w:id="65" w:name="_Toc95137647"/>
      <w:bookmarkStart w:id="66" w:name="_Toc155796894"/>
      <w:bookmarkEnd w:id="62"/>
      <w:bookmarkEnd w:id="63"/>
      <w:r w:rsidRPr="00216C70">
        <w:t>HODNOCENÍ</w:t>
      </w:r>
      <w:bookmarkEnd w:id="64"/>
      <w:bookmarkEnd w:id="65"/>
      <w:r w:rsidR="007C1DC4">
        <w:t xml:space="preserve"> A POSO</w:t>
      </w:r>
      <w:r w:rsidR="005E4B20">
        <w:t>U</w:t>
      </w:r>
      <w:r w:rsidR="007C1DC4">
        <w:t>ZENÍ NABÍDEK</w:t>
      </w:r>
      <w:bookmarkEnd w:id="66"/>
    </w:p>
    <w:p w14:paraId="0D92791A" w14:textId="637CA912" w:rsidR="00314E08" w:rsidRPr="00314E08" w:rsidRDefault="00705868" w:rsidP="00A94922">
      <w:pPr>
        <w:pStyle w:val="Nadpis2"/>
      </w:pPr>
      <w:bookmarkStart w:id="67" w:name="_Toc155796895"/>
      <w:r>
        <w:t>Hodnoti</w:t>
      </w:r>
      <w:r w:rsidR="00314E08" w:rsidRPr="00314E08">
        <w:t>cí kritérium</w:t>
      </w:r>
      <w:bookmarkEnd w:id="67"/>
    </w:p>
    <w:p w14:paraId="49A166DC" w14:textId="1AE76EA9" w:rsidR="00DE6378" w:rsidRDefault="004B2B4E" w:rsidP="00611EF4">
      <w:pPr>
        <w:pStyle w:val="Bezmezer"/>
        <w:spacing w:before="120" w:after="120"/>
      </w:pPr>
      <w:r>
        <w:t xml:space="preserve">Hodnoticím kritériem je nejnižší nabídková cena v Kč </w:t>
      </w:r>
      <w:r w:rsidRPr="00611EF4">
        <w:t>bez</w:t>
      </w:r>
      <w:r>
        <w:t xml:space="preserve"> DPH</w:t>
      </w:r>
      <w:r w:rsidR="00611EF4">
        <w:t>.</w:t>
      </w:r>
    </w:p>
    <w:p w14:paraId="25BED202" w14:textId="0E4E1D92" w:rsidR="00314E08" w:rsidRDefault="00314E08" w:rsidP="00A94922">
      <w:pPr>
        <w:pStyle w:val="Nadpis2"/>
      </w:pPr>
      <w:bookmarkStart w:id="68" w:name="_Toc155796896"/>
      <w:r w:rsidRPr="00314E08">
        <w:t>Způsob hodnocení nabídek</w:t>
      </w:r>
      <w:bookmarkEnd w:id="68"/>
    </w:p>
    <w:p w14:paraId="0FE99036" w14:textId="45839ABB" w:rsidR="00314E08" w:rsidRDefault="00314E08" w:rsidP="00314E08">
      <w:pPr>
        <w:spacing w:after="0"/>
        <w:rPr>
          <w:lang w:eastAsia="cs-CZ"/>
        </w:rPr>
      </w:pPr>
      <w:r>
        <w:rPr>
          <w:lang w:eastAsia="cs-CZ"/>
        </w:rPr>
        <w:t xml:space="preserve">Po otevření nabídek budou porovnány celkové nabídkové ceny dodavatelů v Kč bez DPH. </w:t>
      </w:r>
      <w:r w:rsidRPr="00611EF4">
        <w:rPr>
          <w:lang w:eastAsia="cs-CZ"/>
        </w:rPr>
        <w:t>V případě, že podá nabídku neplátce, bude jeho nabídková cena porovnána s cenami plátců v Kč bez DPH.</w:t>
      </w:r>
      <w:r>
        <w:rPr>
          <w:lang w:eastAsia="cs-CZ"/>
        </w:rPr>
        <w:t xml:space="preserve"> U dodavatele prvního v pořadí bude provedena kontrola obsahu nabídky, potom zadavatel rozhodne o výběru.</w:t>
      </w:r>
    </w:p>
    <w:p w14:paraId="3505D6C2" w14:textId="0DF1CBFD" w:rsidR="004B2B4E" w:rsidRDefault="00A6315C" w:rsidP="00611EF4">
      <w:pPr>
        <w:spacing w:before="120"/>
        <w:rPr>
          <w:lang w:eastAsia="cs-CZ"/>
        </w:rPr>
      </w:pPr>
      <w:r>
        <w:rPr>
          <w:lang w:eastAsia="cs-CZ"/>
        </w:rPr>
        <w:t>Podá-li nabídku jediný dodavatel, nemusí být hodnocení provedeno.</w:t>
      </w:r>
    </w:p>
    <w:p w14:paraId="1CE9C3E9" w14:textId="202A0992" w:rsidR="007C33BC" w:rsidRDefault="00C268F6" w:rsidP="00CD0D62">
      <w:pPr>
        <w:pStyle w:val="Nadpis1"/>
      </w:pPr>
      <w:bookmarkStart w:id="69" w:name="_NABÍDKA_1"/>
      <w:bookmarkStart w:id="70" w:name="_Toc65671002"/>
      <w:bookmarkStart w:id="71" w:name="_Toc95137648"/>
      <w:bookmarkStart w:id="72" w:name="_Toc155796897"/>
      <w:bookmarkEnd w:id="69"/>
      <w:r w:rsidRPr="00C268F6">
        <w:t>NABÍDKA</w:t>
      </w:r>
      <w:bookmarkEnd w:id="70"/>
      <w:bookmarkEnd w:id="71"/>
      <w:bookmarkEnd w:id="72"/>
    </w:p>
    <w:p w14:paraId="39B0B7AE" w14:textId="54E41324" w:rsidR="00C268F6" w:rsidRPr="00C268F6" w:rsidRDefault="003A6C3E" w:rsidP="002554C9">
      <w:pPr>
        <w:pStyle w:val="Bezmezer"/>
        <w:spacing w:after="120"/>
      </w:pPr>
      <w:r>
        <w:t>Požadovaný obsah</w:t>
      </w:r>
      <w:r w:rsidR="0067648B">
        <w:t xml:space="preserve"> nabídky</w:t>
      </w:r>
      <w:r w:rsidR="00CD0D62">
        <w:t>:</w:t>
      </w:r>
    </w:p>
    <w:p w14:paraId="4B836F64" w14:textId="05619E03" w:rsidR="00C268F6" w:rsidRPr="00C268F6" w:rsidRDefault="00BC2479" w:rsidP="00285D79">
      <w:pPr>
        <w:pStyle w:val="Odstavecseseznamem"/>
        <w:numPr>
          <w:ilvl w:val="0"/>
          <w:numId w:val="7"/>
        </w:numPr>
        <w:ind w:left="284" w:hanging="284"/>
        <w:rPr>
          <w:b/>
        </w:rPr>
      </w:pPr>
      <w:r>
        <w:rPr>
          <w:b/>
        </w:rPr>
        <w:t>vyplněn</w:t>
      </w:r>
      <w:r w:rsidR="0067648B">
        <w:rPr>
          <w:b/>
        </w:rPr>
        <w:t>á</w:t>
      </w:r>
      <w:r>
        <w:rPr>
          <w:b/>
        </w:rPr>
        <w:t xml:space="preserve"> Příloh</w:t>
      </w:r>
      <w:r w:rsidR="0067648B">
        <w:rPr>
          <w:b/>
        </w:rPr>
        <w:t>a</w:t>
      </w:r>
      <w:r w:rsidR="00C268F6" w:rsidRPr="00C268F6">
        <w:rPr>
          <w:b/>
        </w:rPr>
        <w:t xml:space="preserve"> č. 1 </w:t>
      </w:r>
      <w:r w:rsidR="0067648B">
        <w:rPr>
          <w:b/>
        </w:rPr>
        <w:t>ZD</w:t>
      </w:r>
      <w:r w:rsidR="00C268F6" w:rsidRPr="00C268F6">
        <w:rPr>
          <w:b/>
        </w:rPr>
        <w:t xml:space="preserve"> - Krycí list nabídky</w:t>
      </w:r>
      <w:r w:rsidR="00C268F6" w:rsidRPr="008A5A3A">
        <w:t>;</w:t>
      </w:r>
    </w:p>
    <w:p w14:paraId="6F2BEE78" w14:textId="2DA60146" w:rsidR="00C268F6" w:rsidRPr="00670E5B" w:rsidRDefault="002554C9" w:rsidP="00285D79">
      <w:pPr>
        <w:pStyle w:val="Odstavecseseznamem"/>
        <w:numPr>
          <w:ilvl w:val="0"/>
          <w:numId w:val="7"/>
        </w:numPr>
        <w:ind w:left="284" w:hanging="284"/>
        <w:rPr>
          <w:strike/>
        </w:rPr>
      </w:pPr>
      <w:r>
        <w:rPr>
          <w:b/>
        </w:rPr>
        <w:t>vyplněná</w:t>
      </w:r>
      <w:r w:rsidR="00BC2479">
        <w:rPr>
          <w:b/>
        </w:rPr>
        <w:t xml:space="preserve"> </w:t>
      </w:r>
      <w:r>
        <w:rPr>
          <w:b/>
        </w:rPr>
        <w:t>Příloha č. 2 ZD – Technická specifikace</w:t>
      </w:r>
      <w:r w:rsidR="00BC2479" w:rsidRPr="008A5A3A">
        <w:t xml:space="preserve">; </w:t>
      </w:r>
    </w:p>
    <w:p w14:paraId="348321B1" w14:textId="60148311" w:rsidR="00C268F6" w:rsidRPr="002554C9" w:rsidRDefault="00BC2479" w:rsidP="00285D79">
      <w:pPr>
        <w:pStyle w:val="Odstavecseseznamem"/>
        <w:numPr>
          <w:ilvl w:val="0"/>
          <w:numId w:val="7"/>
        </w:numPr>
        <w:ind w:left="284" w:hanging="284"/>
        <w:rPr>
          <w:b/>
          <w:strike/>
        </w:rPr>
      </w:pPr>
      <w:r w:rsidRPr="00CD0D62">
        <w:rPr>
          <w:b/>
        </w:rPr>
        <w:t>vyplněn</w:t>
      </w:r>
      <w:r w:rsidR="0067648B">
        <w:rPr>
          <w:b/>
        </w:rPr>
        <w:t>á</w:t>
      </w:r>
      <w:r w:rsidR="008154C6">
        <w:rPr>
          <w:b/>
        </w:rPr>
        <w:t xml:space="preserve"> </w:t>
      </w:r>
      <w:r w:rsidR="0067648B">
        <w:rPr>
          <w:b/>
        </w:rPr>
        <w:t>P</w:t>
      </w:r>
      <w:r w:rsidRPr="00CD0D62">
        <w:rPr>
          <w:b/>
        </w:rPr>
        <w:t>říloh</w:t>
      </w:r>
      <w:r w:rsidR="0067648B">
        <w:rPr>
          <w:b/>
        </w:rPr>
        <w:t>a</w:t>
      </w:r>
      <w:r w:rsidR="00C268F6" w:rsidRPr="00CD0D62">
        <w:rPr>
          <w:rFonts w:cs="Arial"/>
          <w:b/>
        </w:rPr>
        <w:t xml:space="preserve"> č. 4 ZD </w:t>
      </w:r>
      <w:r w:rsidR="00DD153D">
        <w:rPr>
          <w:rFonts w:cs="Arial"/>
          <w:b/>
        </w:rPr>
        <w:t>–</w:t>
      </w:r>
      <w:r w:rsidR="00C268F6" w:rsidRPr="00CD0D62">
        <w:rPr>
          <w:rFonts w:cs="Arial"/>
          <w:b/>
        </w:rPr>
        <w:t xml:space="preserve"> </w:t>
      </w:r>
      <w:r w:rsidR="00C268F6" w:rsidRPr="00C721EE">
        <w:rPr>
          <w:b/>
          <w:iCs/>
        </w:rPr>
        <w:t>Čestné prohlášení</w:t>
      </w:r>
      <w:r w:rsidR="00C721EE">
        <w:rPr>
          <w:b/>
          <w:iCs/>
        </w:rPr>
        <w:t xml:space="preserve"> </w:t>
      </w:r>
      <w:r w:rsidR="00C721EE" w:rsidRPr="00C721EE">
        <w:rPr>
          <w:iCs/>
        </w:rPr>
        <w:t xml:space="preserve">(prohlášení o </w:t>
      </w:r>
      <w:r w:rsidR="00C721EE">
        <w:rPr>
          <w:iCs/>
        </w:rPr>
        <w:t xml:space="preserve">způsobilosti a </w:t>
      </w:r>
      <w:r w:rsidR="00C721EE" w:rsidRPr="00C721EE">
        <w:rPr>
          <w:iCs/>
        </w:rPr>
        <w:t>kvalifikaci, prohlášení o poddodavatelích, prohlášení k odpovědnému veřejnému zadávání, prohlášení o akceptaci smluvních podmínek, prohlášení o neexistenci střetu zájmů, prohlášení k mezinárodním sankcím proti Rusku a Bělorusku, příp. další)</w:t>
      </w:r>
      <w:r w:rsidR="008A5A3A" w:rsidRPr="00C721EE">
        <w:t>;</w:t>
      </w:r>
    </w:p>
    <w:p w14:paraId="6E584170" w14:textId="581FB35E" w:rsidR="00BC2479" w:rsidRPr="003A6C3E" w:rsidRDefault="00670E5B" w:rsidP="00BC2479">
      <w:pPr>
        <w:pStyle w:val="Odstavecseseznamem"/>
        <w:numPr>
          <w:ilvl w:val="0"/>
          <w:numId w:val="7"/>
        </w:numPr>
        <w:ind w:left="284" w:hanging="284"/>
        <w:rPr>
          <w:iCs/>
        </w:rPr>
      </w:pPr>
      <w:r>
        <w:rPr>
          <w:b/>
          <w:iCs/>
        </w:rPr>
        <w:t>p</w:t>
      </w:r>
      <w:r w:rsidR="00547512" w:rsidRPr="00795769">
        <w:rPr>
          <w:b/>
          <w:iCs/>
        </w:rPr>
        <w:t xml:space="preserve">řípadné </w:t>
      </w:r>
      <w:r>
        <w:t>další doklady a informace</w:t>
      </w:r>
      <w:r w:rsidR="004A66F1">
        <w:rPr>
          <w:b/>
          <w:iCs/>
        </w:rPr>
        <w:t>.</w:t>
      </w:r>
    </w:p>
    <w:p w14:paraId="0551364C" w14:textId="6330F513" w:rsidR="003A6C3E" w:rsidRPr="003A6C3E" w:rsidRDefault="003A6C3E" w:rsidP="003A6C3E">
      <w:pPr>
        <w:rPr>
          <w:iCs/>
        </w:rPr>
      </w:pPr>
      <w:r>
        <w:rPr>
          <w:lang w:eastAsia="cs-CZ"/>
        </w:rPr>
        <w:t xml:space="preserve">Podrobnosti k formě a obsahu nabídky jsou uvedeny v </w:t>
      </w:r>
      <w:r>
        <w:t xml:space="preserve">Obecných podmínkách zadávacího řízení. </w:t>
      </w:r>
      <w:hyperlink w:anchor="_NABÍDKA" w:history="1">
        <w:r w:rsidRPr="0067648B">
          <w:rPr>
            <w:rStyle w:val="Hypertextovodkaz"/>
            <w:sz w:val="18"/>
            <w:szCs w:val="18"/>
          </w:rPr>
          <w:t>ODKAZ</w:t>
        </w:r>
      </w:hyperlink>
    </w:p>
    <w:p w14:paraId="57F4E978" w14:textId="77777777" w:rsidR="00FB783F" w:rsidRPr="00FB783F" w:rsidRDefault="00FB783F" w:rsidP="00FB783F">
      <w:pPr>
        <w:pStyle w:val="Nadpis1"/>
      </w:pPr>
      <w:bookmarkStart w:id="73" w:name="_ZADÁVACÍ_ŘÍZENÍ_1"/>
      <w:bookmarkStart w:id="74" w:name="_Toc65671005"/>
      <w:bookmarkStart w:id="75" w:name="_Toc95137651"/>
      <w:bookmarkStart w:id="76" w:name="_Toc155796898"/>
      <w:bookmarkEnd w:id="73"/>
      <w:r w:rsidRPr="00FB783F">
        <w:t>ZADÁVACÍ ŘÍZENÍ</w:t>
      </w:r>
      <w:bookmarkEnd w:id="74"/>
      <w:bookmarkEnd w:id="75"/>
      <w:bookmarkEnd w:id="76"/>
    </w:p>
    <w:p w14:paraId="2FC8576D" w14:textId="6F1B6A7E" w:rsidR="00CD0D62" w:rsidRDefault="00CD0D62" w:rsidP="00CD0D62">
      <w:pPr>
        <w:rPr>
          <w:lang w:eastAsia="cs-CZ"/>
        </w:rPr>
      </w:pPr>
      <w:bookmarkStart w:id="77" w:name="_Toc65671006"/>
      <w:bookmarkStart w:id="78" w:name="_Toc95137652"/>
      <w:r>
        <w:rPr>
          <w:lang w:eastAsia="cs-CZ"/>
        </w:rPr>
        <w:t xml:space="preserve">Podrobnosti k průběhu zadávacího řízení jsou uvedeny v </w:t>
      </w:r>
      <w:r w:rsidR="00CD5B12">
        <w:t>Obecných podmínkách zadávacího řízení</w:t>
      </w:r>
      <w:r>
        <w:t xml:space="preserve">. </w:t>
      </w:r>
      <w:hyperlink w:anchor="_ZADÁVACÍ_ŘÍZENÍ" w:history="1">
        <w:r w:rsidRPr="00BA4DDA">
          <w:rPr>
            <w:rStyle w:val="Hypertextovodkaz"/>
            <w:sz w:val="18"/>
            <w:szCs w:val="18"/>
          </w:rPr>
          <w:t>ODKAZ</w:t>
        </w:r>
      </w:hyperlink>
    </w:p>
    <w:p w14:paraId="7A12C624" w14:textId="77777777" w:rsidR="005B37FA" w:rsidRPr="005B37FA" w:rsidRDefault="005B37FA" w:rsidP="005B37FA">
      <w:pPr>
        <w:pStyle w:val="Nadpis1"/>
      </w:pPr>
      <w:bookmarkStart w:id="79" w:name="_ZÁVĚREČNÁ_USTANOVENÍ_1"/>
      <w:bookmarkStart w:id="80" w:name="_Toc65671015"/>
      <w:bookmarkStart w:id="81" w:name="_Toc95137660"/>
      <w:bookmarkStart w:id="82" w:name="_Toc155796899"/>
      <w:bookmarkEnd w:id="77"/>
      <w:bookmarkEnd w:id="78"/>
      <w:bookmarkEnd w:id="79"/>
      <w:r w:rsidRPr="005B37FA">
        <w:t>ZÁVĚREČNÁ USTANOVENÍ</w:t>
      </w:r>
      <w:bookmarkEnd w:id="80"/>
      <w:bookmarkEnd w:id="81"/>
      <w:bookmarkEnd w:id="82"/>
    </w:p>
    <w:p w14:paraId="3D483F93" w14:textId="77777777" w:rsidR="005B37FA" w:rsidRPr="005B37FA" w:rsidRDefault="005B37FA" w:rsidP="00A94922">
      <w:pPr>
        <w:pStyle w:val="Nadpis2"/>
      </w:pPr>
      <w:bookmarkStart w:id="83" w:name="_E-ZAK_1"/>
      <w:bookmarkStart w:id="84" w:name="_Toc65671016"/>
      <w:bookmarkStart w:id="85" w:name="_Toc95137661"/>
      <w:bookmarkStart w:id="86" w:name="_Toc155796900"/>
      <w:bookmarkEnd w:id="83"/>
      <w:r w:rsidRPr="005B37FA">
        <w:t>E-ZAK</w:t>
      </w:r>
      <w:bookmarkEnd w:id="84"/>
      <w:bookmarkEnd w:id="85"/>
      <w:bookmarkEnd w:id="86"/>
    </w:p>
    <w:p w14:paraId="17BBC4D8" w14:textId="77777777" w:rsidR="005B37FA" w:rsidRDefault="005B37FA" w:rsidP="005B37FA">
      <w:r w:rsidRPr="00A55DED">
        <w:t xml:space="preserve">Systém E-ZAK je certifikovaným elektronickým nástrojem, který slouží zadávání veřejných zakázek. Dodavatelé musí být v E-ZAK registrováni, aby mohli podat elektronickou nabídku. </w:t>
      </w:r>
    </w:p>
    <w:p w14:paraId="6C2FF9DB" w14:textId="780680EF" w:rsidR="00CD0D62" w:rsidRDefault="00CD0D62" w:rsidP="00CD0D62">
      <w:pPr>
        <w:rPr>
          <w:lang w:eastAsia="cs-CZ"/>
        </w:rPr>
      </w:pPr>
      <w:r>
        <w:rPr>
          <w:lang w:eastAsia="cs-CZ"/>
        </w:rPr>
        <w:t>Podrobnosti k systému E-</w:t>
      </w:r>
      <w:r w:rsidR="00DE6378">
        <w:rPr>
          <w:lang w:eastAsia="cs-CZ"/>
        </w:rPr>
        <w:t xml:space="preserve">ZAK </w:t>
      </w:r>
      <w:r>
        <w:rPr>
          <w:lang w:eastAsia="cs-CZ"/>
        </w:rPr>
        <w:t xml:space="preserve">jsou uvedeny v </w:t>
      </w:r>
      <w:r w:rsidR="00CD5B12">
        <w:t>Obecných podmínkách zadávacího řízení</w:t>
      </w:r>
      <w:r>
        <w:t xml:space="preserve">. </w:t>
      </w:r>
      <w:hyperlink w:anchor="_E-ZAK" w:history="1">
        <w:r w:rsidR="008D374C" w:rsidRPr="008D374C">
          <w:rPr>
            <w:rStyle w:val="Hypertextovodkaz"/>
            <w:sz w:val="18"/>
          </w:rPr>
          <w:t>ODKAZ</w:t>
        </w:r>
      </w:hyperlink>
    </w:p>
    <w:p w14:paraId="6D563706" w14:textId="77777777" w:rsidR="005B37FA" w:rsidRPr="005B37FA" w:rsidRDefault="005B37FA" w:rsidP="00A94922">
      <w:pPr>
        <w:pStyle w:val="Nadpis2"/>
      </w:pPr>
      <w:bookmarkStart w:id="87" w:name="_KOMUNIKACE_1"/>
      <w:bookmarkStart w:id="88" w:name="_Toc65671017"/>
      <w:bookmarkStart w:id="89" w:name="_Toc95137662"/>
      <w:bookmarkStart w:id="90" w:name="_Toc155796901"/>
      <w:bookmarkEnd w:id="87"/>
      <w:r w:rsidRPr="005B37FA">
        <w:t>KOMUNIKACE</w:t>
      </w:r>
      <w:bookmarkEnd w:id="88"/>
      <w:bookmarkEnd w:id="89"/>
      <w:bookmarkEnd w:id="90"/>
    </w:p>
    <w:p w14:paraId="1F89C297" w14:textId="0BCB76C4" w:rsidR="005B37FA" w:rsidRDefault="005B37FA" w:rsidP="005B37FA">
      <w:r>
        <w:t xml:space="preserve">Komunikace mezi zadavatelem, administrátorem na straně jedné a dodavateli na straně druhé probíhá elektronicky prostřednictvím systému E-ZAK v detailu VZ uvedeném </w:t>
      </w:r>
      <w:r w:rsidR="00795769">
        <w:t xml:space="preserve">na úvodní straně </w:t>
      </w:r>
      <w:r w:rsidR="00D47D10">
        <w:t>Z</w:t>
      </w:r>
      <w:r w:rsidR="00795769">
        <w:t>adávací dokumentace</w:t>
      </w:r>
      <w:r w:rsidR="00795769" w:rsidRPr="00FB783F">
        <w:t>.</w:t>
      </w:r>
      <w:r>
        <w:t xml:space="preserve"> Výjimečně může dodavatel zaslat písemnost na kontaktní e-mail nebo datové schránky zadavatele či administrátora. Nepřipouští se telefonická komunikace</w:t>
      </w:r>
      <w:r w:rsidR="00D47D10">
        <w:t>,</w:t>
      </w:r>
      <w:r>
        <w:t xml:space="preserve"> komunikace v listinné podobě</w:t>
      </w:r>
      <w:r w:rsidR="00D47D10">
        <w:t xml:space="preserve"> ani osobní jednání</w:t>
      </w:r>
      <w:r>
        <w:t xml:space="preserve">, nestanoví-li ZD </w:t>
      </w:r>
      <w:r w:rsidR="0043736D">
        <w:t xml:space="preserve">nebo ZZVZ </w:t>
      </w:r>
      <w:r>
        <w:t>jinak.</w:t>
      </w:r>
    </w:p>
    <w:p w14:paraId="7567EEE4" w14:textId="42A74FC5" w:rsidR="008D374C" w:rsidRDefault="008D374C" w:rsidP="005B37FA">
      <w:r>
        <w:rPr>
          <w:lang w:eastAsia="cs-CZ"/>
        </w:rPr>
        <w:t xml:space="preserve">Podrobnosti ke komunikaci jsou uvedeny v </w:t>
      </w:r>
      <w:r>
        <w:t xml:space="preserve">Obecných podmínkách zadávacího řízení. </w:t>
      </w:r>
      <w:hyperlink w:anchor="_KOMUNIKACE" w:history="1">
        <w:r w:rsidRPr="008D374C">
          <w:rPr>
            <w:rStyle w:val="Hypertextovodkaz"/>
            <w:sz w:val="18"/>
          </w:rPr>
          <w:t>ODKAZ</w:t>
        </w:r>
      </w:hyperlink>
    </w:p>
    <w:p w14:paraId="02FAD36E" w14:textId="77777777" w:rsidR="005B37FA" w:rsidRPr="005B37FA" w:rsidRDefault="005B37FA" w:rsidP="00A94922">
      <w:pPr>
        <w:pStyle w:val="Nadpis2"/>
      </w:pPr>
      <w:bookmarkStart w:id="91" w:name="_GDPR_1"/>
      <w:bookmarkStart w:id="92" w:name="_Toc65671018"/>
      <w:bookmarkStart w:id="93" w:name="_Toc95137663"/>
      <w:bookmarkStart w:id="94" w:name="_Toc155796902"/>
      <w:bookmarkEnd w:id="91"/>
      <w:r w:rsidRPr="005B37FA">
        <w:lastRenderedPageBreak/>
        <w:t>GDPR</w:t>
      </w:r>
      <w:bookmarkEnd w:id="92"/>
      <w:bookmarkEnd w:id="93"/>
      <w:bookmarkEnd w:id="94"/>
    </w:p>
    <w:p w14:paraId="3ED50231" w14:textId="1BE91D2A" w:rsidR="00CD0D62" w:rsidRPr="008D374C" w:rsidRDefault="00CD0D62" w:rsidP="00CD0D62">
      <w:pPr>
        <w:rPr>
          <w:sz w:val="18"/>
          <w:lang w:eastAsia="cs-CZ"/>
        </w:rPr>
      </w:pPr>
      <w:r>
        <w:rPr>
          <w:lang w:eastAsia="cs-CZ"/>
        </w:rPr>
        <w:t xml:space="preserve">Podrobnosti k GDPR jsou uvedeny v </w:t>
      </w:r>
      <w:r w:rsidR="00CD5B12">
        <w:t>Obecných podmínkách zadávacího řízení</w:t>
      </w:r>
      <w:r>
        <w:t xml:space="preserve">. </w:t>
      </w:r>
      <w:hyperlink w:anchor="_GDPR" w:history="1">
        <w:r w:rsidR="008D374C" w:rsidRPr="008D374C">
          <w:rPr>
            <w:rStyle w:val="Hypertextovodkaz"/>
            <w:sz w:val="18"/>
          </w:rPr>
          <w:t>ODKAZ</w:t>
        </w:r>
      </w:hyperlink>
    </w:p>
    <w:p w14:paraId="2B66A27C" w14:textId="46B827D5" w:rsidR="005B37FA" w:rsidRPr="005B37FA" w:rsidRDefault="00336F77" w:rsidP="00A94922">
      <w:pPr>
        <w:pStyle w:val="Nadpis2"/>
      </w:pPr>
      <w:bookmarkStart w:id="95" w:name="_Další_informace"/>
      <w:bookmarkStart w:id="96" w:name="_Toc155796903"/>
      <w:bookmarkEnd w:id="95"/>
      <w:r>
        <w:t>Další informace</w:t>
      </w:r>
      <w:bookmarkEnd w:id="96"/>
    </w:p>
    <w:p w14:paraId="7569E3AE" w14:textId="0F1D16E7" w:rsidR="00CD0D62" w:rsidRDefault="00336F77" w:rsidP="00CD0D62">
      <w:pPr>
        <w:rPr>
          <w:lang w:eastAsia="cs-CZ"/>
        </w:rPr>
      </w:pPr>
      <w:r>
        <w:rPr>
          <w:lang w:eastAsia="cs-CZ"/>
        </w:rPr>
        <w:t>Další informace k zadávacímu řízení</w:t>
      </w:r>
      <w:r w:rsidR="00CD0D62">
        <w:rPr>
          <w:lang w:eastAsia="cs-CZ"/>
        </w:rPr>
        <w:t xml:space="preserve"> jsou uvedeny v </w:t>
      </w:r>
      <w:r w:rsidR="00CD5B12">
        <w:t>Obecných podmínkách zadávacího řízení</w:t>
      </w:r>
      <w:r w:rsidR="00CD0D62">
        <w:t xml:space="preserve">. </w:t>
      </w:r>
      <w:hyperlink w:anchor="_Další_informace:" w:history="1">
        <w:r w:rsidR="008D374C" w:rsidRPr="008D374C">
          <w:rPr>
            <w:rStyle w:val="Hypertextovodkaz"/>
            <w:sz w:val="18"/>
          </w:rPr>
          <w:t>ODKAZ</w:t>
        </w:r>
      </w:hyperlink>
    </w:p>
    <w:p w14:paraId="5035B2D3" w14:textId="3A191625" w:rsidR="009C64BE" w:rsidRPr="009C64BE" w:rsidRDefault="009C64BE" w:rsidP="009C64BE">
      <w:pPr>
        <w:pStyle w:val="Nadpis1"/>
      </w:pPr>
      <w:bookmarkStart w:id="97" w:name="_Toc65671020"/>
      <w:bookmarkStart w:id="98" w:name="_Toc95137665"/>
      <w:bookmarkStart w:id="99" w:name="_Toc155796904"/>
      <w:r w:rsidRPr="009C64BE">
        <w:t>PŘÍLOHY</w:t>
      </w:r>
      <w:bookmarkEnd w:id="97"/>
      <w:bookmarkEnd w:id="98"/>
      <w:r w:rsidR="00CD0D62">
        <w:t xml:space="preserve"> </w:t>
      </w:r>
      <w:r w:rsidR="00FF1819">
        <w:t>ZADÁVACÍ DOKUMENTACE</w:t>
      </w:r>
      <w:bookmarkEnd w:id="99"/>
    </w:p>
    <w:p w14:paraId="371A16CE" w14:textId="00692879" w:rsidR="009C64BE" w:rsidRPr="00733808" w:rsidRDefault="009C64BE" w:rsidP="00285D79">
      <w:pPr>
        <w:pStyle w:val="Odstavecseseznamem"/>
        <w:numPr>
          <w:ilvl w:val="0"/>
          <w:numId w:val="11"/>
        </w:numPr>
        <w:ind w:left="426" w:hanging="284"/>
      </w:pPr>
      <w:r w:rsidRPr="00733808">
        <w:t xml:space="preserve">Příloha č. 1 – Krycí list nabídky </w:t>
      </w:r>
    </w:p>
    <w:p w14:paraId="63EA20DC" w14:textId="27B80BCB" w:rsidR="009C64BE" w:rsidRDefault="009C64BE" w:rsidP="00926A1E">
      <w:pPr>
        <w:pStyle w:val="Odstavecseseznamem"/>
        <w:numPr>
          <w:ilvl w:val="0"/>
          <w:numId w:val="11"/>
        </w:numPr>
        <w:ind w:left="426" w:hanging="284"/>
      </w:pPr>
      <w:r w:rsidRPr="00733808">
        <w:t>Příloha č.</w:t>
      </w:r>
      <w:r>
        <w:t xml:space="preserve"> </w:t>
      </w:r>
      <w:r w:rsidR="00DB1102">
        <w:t>2</w:t>
      </w:r>
      <w:r w:rsidRPr="00733808">
        <w:t xml:space="preserve"> – </w:t>
      </w:r>
      <w:r w:rsidR="00926A1E">
        <w:t>Technická specifikace</w:t>
      </w:r>
    </w:p>
    <w:p w14:paraId="6C7CF1D7" w14:textId="04746230" w:rsidR="00DB1102" w:rsidRPr="00733808" w:rsidRDefault="00DB1102" w:rsidP="00DB1102">
      <w:pPr>
        <w:pStyle w:val="Odstavecseseznamem"/>
        <w:numPr>
          <w:ilvl w:val="0"/>
          <w:numId w:val="11"/>
        </w:numPr>
        <w:ind w:left="426" w:hanging="284"/>
      </w:pPr>
      <w:r>
        <w:t>Příloha č. 3</w:t>
      </w:r>
      <w:r w:rsidRPr="00733808">
        <w:t xml:space="preserve"> –</w:t>
      </w:r>
      <w:r>
        <w:t xml:space="preserve"> </w:t>
      </w:r>
      <w:r w:rsidRPr="00733808">
        <w:t xml:space="preserve">Návrh smlouvy </w:t>
      </w:r>
    </w:p>
    <w:p w14:paraId="27FB7882" w14:textId="353E32F2" w:rsidR="009C64BE" w:rsidRPr="00733808" w:rsidRDefault="009C64BE" w:rsidP="00285D79">
      <w:pPr>
        <w:pStyle w:val="Odstavecseseznamem"/>
        <w:numPr>
          <w:ilvl w:val="0"/>
          <w:numId w:val="11"/>
        </w:numPr>
        <w:ind w:left="426" w:hanging="284"/>
      </w:pPr>
      <w:r w:rsidRPr="00733808">
        <w:t xml:space="preserve">Příloha č. 4 – </w:t>
      </w:r>
      <w:r w:rsidRPr="00C721EE">
        <w:t>Čestné prohlášení</w:t>
      </w:r>
    </w:p>
    <w:p w14:paraId="4A284415" w14:textId="5A3398B9" w:rsidR="00CC695C" w:rsidRDefault="00CC695C" w:rsidP="005757C7">
      <w:pPr>
        <w:spacing w:before="240" w:after="600"/>
      </w:pPr>
      <w:r w:rsidRPr="00C83484">
        <w:t>V </w:t>
      </w:r>
      <w:r w:rsidR="00E919EC">
        <w:t>Plzni</w:t>
      </w:r>
    </w:p>
    <w:p w14:paraId="58648118" w14:textId="77777777" w:rsidR="008D5A71" w:rsidRDefault="008D5A71" w:rsidP="008D5A71">
      <w:pPr>
        <w:tabs>
          <w:tab w:val="center" w:pos="7088"/>
        </w:tabs>
        <w:spacing w:before="1560" w:after="0"/>
        <w:rPr>
          <w:highlight w:val="yellow"/>
        </w:rPr>
      </w:pPr>
      <w:r w:rsidRPr="008D5A71">
        <w:t>PhDr. Ivana Křížová</w:t>
      </w:r>
      <w:r w:rsidRPr="008D5A71">
        <w:rPr>
          <w:highlight w:val="yellow"/>
        </w:rPr>
        <w:t xml:space="preserve"> </w:t>
      </w:r>
    </w:p>
    <w:p w14:paraId="7DD68891" w14:textId="17CFA56C" w:rsidR="00CC695C" w:rsidRPr="003F6828" w:rsidRDefault="008D5A71" w:rsidP="00CC695C">
      <w:pPr>
        <w:tabs>
          <w:tab w:val="center" w:pos="7088"/>
        </w:tabs>
        <w:spacing w:after="0"/>
        <w:rPr>
          <w:highlight w:val="yellow"/>
        </w:rPr>
      </w:pPr>
      <w:r w:rsidRPr="008D5A71">
        <w:t>ředitelka</w:t>
      </w:r>
    </w:p>
    <w:p w14:paraId="0830B20B" w14:textId="4067A82C" w:rsidR="008D5A71" w:rsidRDefault="008D5A71" w:rsidP="008D5A71">
      <w:pPr>
        <w:pStyle w:val="Bezmezer"/>
        <w:tabs>
          <w:tab w:val="left" w:pos="6237"/>
        </w:tabs>
        <w:rPr>
          <w:rFonts w:cstheme="minorHAnsi"/>
          <w:lang w:eastAsia="cs-CZ"/>
        </w:rPr>
      </w:pPr>
      <w:r>
        <w:rPr>
          <w:rFonts w:cstheme="minorHAnsi"/>
          <w:lang w:eastAsia="cs-CZ"/>
        </w:rPr>
        <w:t>Střední zdravotnická škola a Vyšší odborná škola</w:t>
      </w:r>
      <w:r>
        <w:rPr>
          <w:rFonts w:cstheme="minorHAnsi"/>
          <w:lang w:eastAsia="cs-CZ"/>
        </w:rPr>
        <w:tab/>
      </w:r>
    </w:p>
    <w:p w14:paraId="2A421D43" w14:textId="4F2B04E5" w:rsidR="00CC695C" w:rsidRPr="003F6828" w:rsidRDefault="008D5A71" w:rsidP="008D5A71">
      <w:pPr>
        <w:tabs>
          <w:tab w:val="center" w:pos="7088"/>
        </w:tabs>
        <w:spacing w:after="0"/>
        <w:rPr>
          <w:highlight w:val="yellow"/>
        </w:rPr>
      </w:pPr>
      <w:r>
        <w:rPr>
          <w:rFonts w:cstheme="minorHAnsi"/>
          <w:lang w:eastAsia="cs-CZ"/>
        </w:rPr>
        <w:t>Zdravotnická, Plzeň, Karlovarská 99</w:t>
      </w:r>
    </w:p>
    <w:p w14:paraId="4B0B12FC" w14:textId="76621433" w:rsidR="00CC695C" w:rsidRPr="00757BCC" w:rsidRDefault="00CC695C" w:rsidP="008D5A71">
      <w:pPr>
        <w:spacing w:before="120" w:after="160" w:line="259" w:lineRule="auto"/>
        <w:jc w:val="left"/>
        <w:rPr>
          <w:highlight w:val="green"/>
        </w:rPr>
      </w:pPr>
      <w:r>
        <w:t>za Zadavatel</w:t>
      </w:r>
      <w:r w:rsidR="005757C7">
        <w:t>e</w:t>
      </w:r>
      <w:r w:rsidR="005757C7">
        <w:rPr>
          <w:highlight w:val="green"/>
        </w:rPr>
        <w:br w:type="page"/>
      </w:r>
    </w:p>
    <w:p w14:paraId="74C83A01" w14:textId="36CE65E9" w:rsidR="00353E5D" w:rsidRDefault="00D60E0C" w:rsidP="006C7318">
      <w:pPr>
        <w:pStyle w:val="Nadpis1"/>
        <w:numPr>
          <w:ilvl w:val="0"/>
          <w:numId w:val="0"/>
        </w:numPr>
        <w:tabs>
          <w:tab w:val="center" w:pos="4932"/>
          <w:tab w:val="left" w:pos="7995"/>
        </w:tabs>
        <w:spacing w:before="120"/>
        <w:ind w:left="432" w:hanging="432"/>
        <w:jc w:val="center"/>
      </w:pPr>
      <w:bookmarkStart w:id="100" w:name="_ZADAVATELSKÉ_PODMÍNKY"/>
      <w:bookmarkStart w:id="101" w:name="_Toc155796905"/>
      <w:bookmarkEnd w:id="100"/>
      <w:r>
        <w:lastRenderedPageBreak/>
        <w:t>OBECNÉ PODMÍNKY ZADÁVACÍHO ŘÍZENÍ</w:t>
      </w:r>
      <w:bookmarkEnd w:id="101"/>
    </w:p>
    <w:p w14:paraId="7A6B50A2" w14:textId="6135A55F" w:rsidR="00F9403F" w:rsidRDefault="00353E5D" w:rsidP="006C7318">
      <w:pPr>
        <w:spacing w:before="120"/>
      </w:pPr>
      <w:r w:rsidRPr="00353E5D">
        <w:t xml:space="preserve">Zadavatel níže upřesňuje </w:t>
      </w:r>
      <w:r w:rsidR="00DB1102">
        <w:t xml:space="preserve">podmínky </w:t>
      </w:r>
      <w:r w:rsidR="00402C70">
        <w:t>zjednodušeného podlimitního řízení.</w:t>
      </w:r>
    </w:p>
    <w:p w14:paraId="6132C29C" w14:textId="77777777" w:rsidR="0045331A" w:rsidRPr="00025274" w:rsidRDefault="0045331A" w:rsidP="006130F2">
      <w:pPr>
        <w:pStyle w:val="Nadpis1"/>
        <w:numPr>
          <w:ilvl w:val="0"/>
          <w:numId w:val="17"/>
        </w:numPr>
      </w:pPr>
      <w:bookmarkStart w:id="102" w:name="_ADMINISTRÁTOR"/>
      <w:bookmarkStart w:id="103" w:name="_Toc155796906"/>
      <w:bookmarkEnd w:id="102"/>
      <w:r w:rsidRPr="00025274">
        <w:t>ADMINISTRÁTOR</w:t>
      </w:r>
      <w:bookmarkEnd w:id="103"/>
    </w:p>
    <w:p w14:paraId="5FC3C041" w14:textId="77777777" w:rsidR="00A80E43" w:rsidRDefault="0045331A" w:rsidP="00025274">
      <w:r w:rsidRPr="001530E5">
        <w:t>Administrátor zastupuje zadavatele v souladu s § 43 ZZVZ při provádění úkonů, které souvisí se zadávacím řízením, na základě příkazní smlouvy o zastoupení. Zadavateli jsou vyhrazena rozhodnutí o výběru, rozhodnutí o vyloučení dodavatele, rozhodnutí o zrušení zadávacího řízení, rozhodnutí o námitkách a uzavření smlouvy na</w:t>
      </w:r>
      <w:r>
        <w:t> </w:t>
      </w:r>
      <w:r w:rsidRPr="001530E5">
        <w:t>veřejnou zakázku.</w:t>
      </w:r>
      <w:r>
        <w:t xml:space="preserve"> </w:t>
      </w:r>
    </w:p>
    <w:p w14:paraId="7360C61E" w14:textId="5F239099" w:rsidR="0045331A" w:rsidRDefault="00805DBC" w:rsidP="00025274">
      <w:hyperlink w:anchor="_ADMINISTRÁTOR_1" w:history="1">
        <w:r w:rsidR="006130F2">
          <w:rPr>
            <w:rStyle w:val="Hypertextovodkaz"/>
          </w:rPr>
          <w:t>Zpět</w:t>
        </w:r>
        <w:r w:rsidR="00105D25" w:rsidRPr="00105D25">
          <w:rPr>
            <w:rStyle w:val="Hypertextovodkaz"/>
          </w:rPr>
          <w:t xml:space="preserve"> na článek č. 1 ZD</w:t>
        </w:r>
      </w:hyperlink>
    </w:p>
    <w:p w14:paraId="629D58DE" w14:textId="2AE42236" w:rsidR="0045331A" w:rsidRPr="00025274" w:rsidRDefault="0045331A" w:rsidP="006130F2">
      <w:pPr>
        <w:pStyle w:val="Nadpis1"/>
      </w:pPr>
      <w:bookmarkStart w:id="104" w:name="_VEŘEJNÁ_ZAKÁZKA"/>
      <w:bookmarkStart w:id="105" w:name="_Toc155796907"/>
      <w:bookmarkEnd w:id="104"/>
      <w:r w:rsidRPr="00025274">
        <w:t>VEŘEJNÁ ZAKÁZKA</w:t>
      </w:r>
      <w:bookmarkEnd w:id="105"/>
    </w:p>
    <w:p w14:paraId="172099AF" w14:textId="0AC892DF" w:rsidR="0045331A" w:rsidRPr="001530E5" w:rsidRDefault="00353E5D" w:rsidP="0045331A">
      <w:pPr>
        <w:rPr>
          <w:rFonts w:cs="Calibri"/>
        </w:rPr>
      </w:pPr>
      <w:r>
        <w:rPr>
          <w:rFonts w:cs="Calibri"/>
        </w:rPr>
        <w:t>Jedná se o podlimitní veřejnou zakázku</w:t>
      </w:r>
      <w:r w:rsidR="00522FFF">
        <w:rPr>
          <w:rFonts w:cs="Calibri"/>
        </w:rPr>
        <w:t xml:space="preserve"> zadávanou ve zjednodušeném podlimitním řízení</w:t>
      </w:r>
      <w:r w:rsidR="0045331A" w:rsidRPr="001530E5">
        <w:rPr>
          <w:rFonts w:cs="Calibri"/>
        </w:rPr>
        <w:t>. S vybraným dodavatelem bude uzavřena smlouva po skončení zadávacího řízení.</w:t>
      </w:r>
    </w:p>
    <w:p w14:paraId="3B1B68DD" w14:textId="3B6083E0" w:rsidR="0045331A" w:rsidRDefault="00483654" w:rsidP="00C916D2">
      <w:r>
        <w:t xml:space="preserve">Zadavatel stanovil </w:t>
      </w:r>
      <w:r w:rsidR="0045331A" w:rsidRPr="00353E5D">
        <w:t>předpokládanou hodnotu VZ na základě</w:t>
      </w:r>
      <w:r>
        <w:t xml:space="preserve"> </w:t>
      </w:r>
      <w:r>
        <w:rPr>
          <w:lang w:eastAsia="cs-CZ"/>
        </w:rPr>
        <w:t>údajů a informací o zakázkách stejného či podobného předmětu plnění, případně na základě průzkumu trhu, předběžnými tržními konzultacemi nebo jiným vhodným způsobem</w:t>
      </w:r>
      <w:r w:rsidR="0045331A" w:rsidRPr="00353E5D">
        <w:t xml:space="preserve">. </w:t>
      </w:r>
    </w:p>
    <w:p w14:paraId="3977B4DA" w14:textId="3D10604F" w:rsidR="00A30389" w:rsidRDefault="0045331A" w:rsidP="0045331A">
      <w:r w:rsidRPr="00353E5D">
        <w:t xml:space="preserve">Zadavatel zohlednil zásady </w:t>
      </w:r>
      <w:r w:rsidR="00522FFF">
        <w:t>odpovědného veřejného zadávání (</w:t>
      </w:r>
      <w:r w:rsidRPr="00353E5D">
        <w:t>OVZ</w:t>
      </w:r>
      <w:r w:rsidR="00522FFF">
        <w:t>)</w:t>
      </w:r>
      <w:r w:rsidR="00A30389">
        <w:t xml:space="preserve"> </w:t>
      </w:r>
      <w:r w:rsidR="00522FFF">
        <w:t xml:space="preserve">ve smyslu a v souladu s </w:t>
      </w:r>
      <w:r w:rsidR="00353E5D" w:rsidRPr="00353E5D">
        <w:t xml:space="preserve">§ 6 odst. 4 ZZVZ. </w:t>
      </w:r>
      <w:r w:rsidRPr="00353E5D">
        <w:t xml:space="preserve"> </w:t>
      </w:r>
    </w:p>
    <w:p w14:paraId="625E9C4D" w14:textId="185872DC" w:rsidR="00483654" w:rsidRPr="00F93DE0" w:rsidRDefault="00805DBC" w:rsidP="0045331A">
      <w:pPr>
        <w:rPr>
          <w:lang w:eastAsia="cs-CZ"/>
        </w:rPr>
      </w:pPr>
      <w:hyperlink w:anchor="_VEŘEJNÁ_ZAKÁZKA_1" w:history="1">
        <w:r w:rsidR="006130F2">
          <w:rPr>
            <w:rStyle w:val="Hypertextovodkaz"/>
            <w:lang w:eastAsia="cs-CZ"/>
          </w:rPr>
          <w:t>Zpět</w:t>
        </w:r>
        <w:r w:rsidR="00F93DE0" w:rsidRPr="00F93DE0">
          <w:rPr>
            <w:rStyle w:val="Hypertextovodkaz"/>
            <w:lang w:eastAsia="cs-CZ"/>
          </w:rPr>
          <w:t xml:space="preserve"> na článek č. 2 ZD</w:t>
        </w:r>
      </w:hyperlink>
    </w:p>
    <w:p w14:paraId="758F2A99" w14:textId="77777777" w:rsidR="0045331A" w:rsidRPr="00025274" w:rsidRDefault="0045331A" w:rsidP="006130F2">
      <w:pPr>
        <w:pStyle w:val="Nadpis1"/>
      </w:pPr>
      <w:bookmarkStart w:id="106" w:name="_KVALIFIKACE"/>
      <w:bookmarkStart w:id="107" w:name="_Toc155796908"/>
      <w:bookmarkEnd w:id="106"/>
      <w:r w:rsidRPr="00025274">
        <w:t>KVALIFIKACE</w:t>
      </w:r>
      <w:bookmarkEnd w:id="107"/>
    </w:p>
    <w:p w14:paraId="106235EF" w14:textId="21CBD13D" w:rsidR="0045331A" w:rsidRDefault="00FA618E" w:rsidP="00D73C60">
      <w:pPr>
        <w:pStyle w:val="Bezmezer"/>
        <w:spacing w:before="120" w:after="120"/>
        <w:jc w:val="both"/>
        <w:rPr>
          <w:lang w:eastAsia="cs-CZ"/>
        </w:rPr>
      </w:pPr>
      <w:r>
        <w:rPr>
          <w:lang w:eastAsia="cs-CZ"/>
        </w:rPr>
        <w:t>Dodavatel</w:t>
      </w:r>
      <w:r w:rsidR="006D01B3">
        <w:rPr>
          <w:lang w:eastAsia="cs-CZ"/>
        </w:rPr>
        <w:t xml:space="preserve"> prokazuje </w:t>
      </w:r>
      <w:r w:rsidR="0045331A" w:rsidRPr="00A30389">
        <w:rPr>
          <w:lang w:eastAsia="cs-CZ"/>
        </w:rPr>
        <w:t xml:space="preserve">splnění kvalifikace </w:t>
      </w:r>
      <w:r w:rsidR="006D01B3">
        <w:rPr>
          <w:lang w:eastAsia="cs-CZ"/>
        </w:rPr>
        <w:t>předložením</w:t>
      </w:r>
      <w:r w:rsidR="0045331A" w:rsidRPr="00A30389">
        <w:rPr>
          <w:lang w:eastAsia="cs-CZ"/>
        </w:rPr>
        <w:t xml:space="preserve"> čestné</w:t>
      </w:r>
      <w:r w:rsidR="006D01B3">
        <w:rPr>
          <w:lang w:eastAsia="cs-CZ"/>
        </w:rPr>
        <w:t>ho</w:t>
      </w:r>
      <w:r w:rsidR="0045331A" w:rsidRPr="00A30389">
        <w:rPr>
          <w:lang w:eastAsia="cs-CZ"/>
        </w:rPr>
        <w:t xml:space="preserve"> prohlášení nebo jednotné</w:t>
      </w:r>
      <w:r w:rsidR="006D01B3">
        <w:rPr>
          <w:lang w:eastAsia="cs-CZ"/>
        </w:rPr>
        <w:t>ho</w:t>
      </w:r>
      <w:r w:rsidR="0045331A" w:rsidRPr="00A30389">
        <w:rPr>
          <w:lang w:eastAsia="cs-CZ"/>
        </w:rPr>
        <w:t xml:space="preserve"> evropské</w:t>
      </w:r>
      <w:r w:rsidR="00AD0EDC">
        <w:rPr>
          <w:lang w:eastAsia="cs-CZ"/>
        </w:rPr>
        <w:t>ho</w:t>
      </w:r>
      <w:r w:rsidR="0045331A" w:rsidRPr="00A30389">
        <w:rPr>
          <w:lang w:eastAsia="cs-CZ"/>
        </w:rPr>
        <w:t xml:space="preserve"> osvědčení</w:t>
      </w:r>
      <w:r w:rsidR="006D01B3">
        <w:rPr>
          <w:lang w:eastAsia="cs-CZ"/>
        </w:rPr>
        <w:t xml:space="preserve"> </w:t>
      </w:r>
      <w:r w:rsidR="006D01B3" w:rsidRPr="00A30389">
        <w:rPr>
          <w:lang w:eastAsia="cs-CZ"/>
        </w:rPr>
        <w:t>ve své nabídce</w:t>
      </w:r>
      <w:r w:rsidR="0045331A" w:rsidRPr="00A30389">
        <w:rPr>
          <w:lang w:eastAsia="cs-CZ"/>
        </w:rPr>
        <w:t>.</w:t>
      </w:r>
      <w:r w:rsidR="00A16BE3">
        <w:rPr>
          <w:lang w:eastAsia="cs-CZ"/>
        </w:rPr>
        <w:t xml:space="preserve"> Zadavatel je oprávněn </w:t>
      </w:r>
      <w:r w:rsidR="0079410F">
        <w:rPr>
          <w:lang w:eastAsia="cs-CZ"/>
        </w:rPr>
        <w:t>vyzvat k</w:t>
      </w:r>
      <w:r w:rsidR="00A16BE3">
        <w:rPr>
          <w:lang w:eastAsia="cs-CZ"/>
        </w:rPr>
        <w:t xml:space="preserve"> předložení</w:t>
      </w:r>
      <w:r w:rsidR="003A6C3E">
        <w:rPr>
          <w:lang w:eastAsia="cs-CZ"/>
        </w:rPr>
        <w:t xml:space="preserve"> dokladů podle § 75 odst. 1 ZZVZ a dalších</w:t>
      </w:r>
      <w:r w:rsidR="00A16BE3">
        <w:rPr>
          <w:lang w:eastAsia="cs-CZ"/>
        </w:rPr>
        <w:t xml:space="preserve"> vybraných kvalifikačních dokladů v</w:t>
      </w:r>
      <w:r w:rsidR="00AD0EDC">
        <w:rPr>
          <w:lang w:eastAsia="cs-CZ"/>
        </w:rPr>
        <w:t xml:space="preserve"> elektronických </w:t>
      </w:r>
      <w:r w:rsidR="003A6C3E">
        <w:rPr>
          <w:lang w:eastAsia="cs-CZ"/>
        </w:rPr>
        <w:t>kopiích,</w:t>
      </w:r>
      <w:r w:rsidR="00A16BE3">
        <w:rPr>
          <w:lang w:eastAsia="cs-CZ"/>
        </w:rPr>
        <w:t xml:space="preserve"> </w:t>
      </w:r>
      <w:r w:rsidR="00FD1779">
        <w:rPr>
          <w:lang w:eastAsia="cs-CZ"/>
        </w:rPr>
        <w:t xml:space="preserve">elektronických </w:t>
      </w:r>
      <w:r w:rsidR="00A16BE3">
        <w:rPr>
          <w:lang w:eastAsia="cs-CZ"/>
        </w:rPr>
        <w:t>originálech či</w:t>
      </w:r>
      <w:r w:rsidR="008E11C8">
        <w:rPr>
          <w:lang w:eastAsia="cs-CZ"/>
        </w:rPr>
        <w:t xml:space="preserve"> autorizovaných konverzích listinných</w:t>
      </w:r>
      <w:r w:rsidR="00686925">
        <w:rPr>
          <w:lang w:eastAsia="cs-CZ"/>
        </w:rPr>
        <w:t xml:space="preserve"> originálních</w:t>
      </w:r>
      <w:r w:rsidR="008E11C8">
        <w:rPr>
          <w:lang w:eastAsia="cs-CZ"/>
        </w:rPr>
        <w:t xml:space="preserve"> dokumentů</w:t>
      </w:r>
      <w:r w:rsidR="00A16BE3">
        <w:rPr>
          <w:lang w:eastAsia="cs-CZ"/>
        </w:rPr>
        <w:t xml:space="preserve"> před uzavřením smlouvy.</w:t>
      </w:r>
    </w:p>
    <w:p w14:paraId="577A0312" w14:textId="7ED4A82C" w:rsidR="00D73C60" w:rsidRPr="006130F2" w:rsidRDefault="00D73C60" w:rsidP="00D73C60">
      <w:pPr>
        <w:pStyle w:val="Bezmezer"/>
        <w:spacing w:after="120"/>
        <w:jc w:val="both"/>
        <w:rPr>
          <w:b/>
          <w:sz w:val="24"/>
          <w:lang w:eastAsia="cs-CZ"/>
        </w:rPr>
      </w:pPr>
      <w:r w:rsidRPr="006130F2">
        <w:rPr>
          <w:b/>
          <w:sz w:val="24"/>
          <w:lang w:eastAsia="cs-CZ"/>
        </w:rPr>
        <w:t>Základní způsobilost</w:t>
      </w:r>
    </w:p>
    <w:p w14:paraId="28D04D0C" w14:textId="0E06DC35" w:rsidR="0045331A" w:rsidRPr="00A30389" w:rsidRDefault="0045331A" w:rsidP="00D73C60">
      <w:r w:rsidRPr="00A30389">
        <w:t xml:space="preserve">Dodavatel prokáže základní způsobilost </w:t>
      </w:r>
      <w:r w:rsidR="00A904B6">
        <w:t>dle</w:t>
      </w:r>
      <w:r w:rsidRPr="00A30389">
        <w:t xml:space="preserve"> § 74 ZZVZ předložením čestného prohlášení podle Přílohy č. 4 ZD. Způsobilost musí být splněna nejpozději v době 3 měsíců přede dnem zahájení zadávacího řízení.</w:t>
      </w:r>
      <w:r w:rsidR="003A6C3E">
        <w:t xml:space="preserve"> Konkrétní doklady pro prokázání základní způsobilosti jsou stanovené v § 75 odst. 1 ZZVZ.</w:t>
      </w:r>
    </w:p>
    <w:p w14:paraId="5A287D41" w14:textId="77777777" w:rsidR="0045331A" w:rsidRPr="006130F2" w:rsidRDefault="0045331A" w:rsidP="00D73C60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Profesní způsobilost</w:t>
      </w:r>
    </w:p>
    <w:p w14:paraId="5E5A13C8" w14:textId="0B1403DB" w:rsidR="0045331A" w:rsidRPr="006D01B3" w:rsidRDefault="00522FFF" w:rsidP="00D73C60">
      <w:r>
        <w:t xml:space="preserve">Je-li požadována profesní způsobilost, </w:t>
      </w:r>
      <w:r w:rsidR="006D01B3" w:rsidRPr="006D01B3">
        <w:t xml:space="preserve">prokáže </w:t>
      </w:r>
      <w:r w:rsidR="00345D5F">
        <w:t xml:space="preserve">dodavatel splnění </w:t>
      </w:r>
      <w:r w:rsidR="006D01B3" w:rsidRPr="006D01B3">
        <w:t>profesní způsobilost</w:t>
      </w:r>
      <w:r w:rsidR="00A904B6">
        <w:t xml:space="preserve"> v souladu s § 77</w:t>
      </w:r>
      <w:r w:rsidR="0045331A" w:rsidRPr="006D01B3">
        <w:t xml:space="preserve"> </w:t>
      </w:r>
      <w:r w:rsidR="00A904B6">
        <w:t xml:space="preserve">ZZVZ </w:t>
      </w:r>
      <w:r w:rsidR="006D01B3" w:rsidRPr="006D01B3">
        <w:t>předložením čestného prohlášení podle Přílohy č. 4 ZD</w:t>
      </w:r>
      <w:r w:rsidR="005560FF">
        <w:t>.</w:t>
      </w:r>
    </w:p>
    <w:p w14:paraId="20CEB22F" w14:textId="77777777" w:rsidR="0045331A" w:rsidRPr="006130F2" w:rsidRDefault="0045331A" w:rsidP="00025274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Technická kvalifikace</w:t>
      </w:r>
    </w:p>
    <w:p w14:paraId="324F2DE5" w14:textId="5DBD4B2D" w:rsidR="007C4142" w:rsidRPr="007C4142" w:rsidRDefault="00345D5F" w:rsidP="00FA618E">
      <w:r>
        <w:t>Je-li požadována technická kvalifikace,</w:t>
      </w:r>
      <w:r w:rsidR="00A30389" w:rsidRPr="007C4142">
        <w:t xml:space="preserve"> prokáže </w:t>
      </w:r>
      <w:r>
        <w:t xml:space="preserve">dodavatel </w:t>
      </w:r>
      <w:r w:rsidR="00A30389" w:rsidRPr="007C4142">
        <w:t xml:space="preserve">splnění technické kvalifikace </w:t>
      </w:r>
      <w:r w:rsidR="00A30389" w:rsidRPr="00522FFF">
        <w:t>čestným prohlášením</w:t>
      </w:r>
      <w:r w:rsidR="00A30389" w:rsidRPr="007C4142">
        <w:t>, které je součástí Přílohy č. 4 ZD, z jehož obsahu bude zřejmé, že dodavatel technické k</w:t>
      </w:r>
      <w:r w:rsidR="007C4142" w:rsidRPr="007C4142">
        <w:t>valifikační předpoklady splňuje a společně s tím doloží doklady požadované v zadávací dokumentaci ke splnění</w:t>
      </w:r>
      <w:r w:rsidR="007C4142">
        <w:t xml:space="preserve"> </w:t>
      </w:r>
      <w:r w:rsidR="007C4142" w:rsidRPr="007C4142">
        <w:t>technické</w:t>
      </w:r>
      <w:r w:rsidR="007C4142">
        <w:t xml:space="preserve"> kvalifikace (</w:t>
      </w:r>
      <w:r w:rsidR="007C4142" w:rsidRPr="007C4142">
        <w:t>např. fotodokumentaci, vzorky, apod.)</w:t>
      </w:r>
      <w:r w:rsidR="007F3700">
        <w:t>, není-li v článku č. 3 ZD</w:t>
      </w:r>
      <w:r>
        <w:t xml:space="preserve"> stanoveno jinak</w:t>
      </w:r>
      <w:r w:rsidR="007C4142">
        <w:t>.</w:t>
      </w:r>
    </w:p>
    <w:p w14:paraId="33A1CBCC" w14:textId="77777777" w:rsidR="0045331A" w:rsidRPr="006130F2" w:rsidRDefault="0045331A" w:rsidP="00025274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Ostatní ustanovení</w:t>
      </w:r>
    </w:p>
    <w:p w14:paraId="61142879" w14:textId="4FE941DA" w:rsidR="0045331A" w:rsidRDefault="0045331A" w:rsidP="00C177CA">
      <w:pPr>
        <w:pStyle w:val="Bezmezer"/>
        <w:jc w:val="both"/>
        <w:rPr>
          <w:lang w:eastAsia="cs-CZ"/>
        </w:rPr>
      </w:pPr>
      <w:r>
        <w:rPr>
          <w:lang w:eastAsia="cs-CZ"/>
        </w:rPr>
        <w:t xml:space="preserve">V elektronické nabídce nemusí být prohlášení </w:t>
      </w:r>
      <w:r w:rsidR="00A16BE3">
        <w:rPr>
          <w:lang w:eastAsia="cs-CZ"/>
        </w:rPr>
        <w:t xml:space="preserve">o kvalifikaci </w:t>
      </w:r>
      <w:r>
        <w:rPr>
          <w:lang w:eastAsia="cs-CZ"/>
        </w:rPr>
        <w:t>podepsáno. Podepsáním elektronické nabídky se má za to, že jsou podepsány všechny dokumenty dodavatele v nabídce.</w:t>
      </w:r>
    </w:p>
    <w:p w14:paraId="5D61A237" w14:textId="3645A30F" w:rsidR="0045331A" w:rsidRDefault="0045331A" w:rsidP="00C177CA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 xml:space="preserve">Prokazuje-li dodavatel kvalifikaci prostřednictvím jiných osob, zejména poddodavatelů, předloží v souladu </w:t>
      </w:r>
      <w:r w:rsidR="00C916D2">
        <w:rPr>
          <w:lang w:eastAsia="cs-CZ"/>
        </w:rPr>
        <w:br/>
      </w:r>
      <w:r>
        <w:rPr>
          <w:lang w:eastAsia="cs-CZ"/>
        </w:rPr>
        <w:t>s § 83 ZZVZ nejpozději před uzavřením smlouvy na veřejnou zakázku smlouvu</w:t>
      </w:r>
      <w:r w:rsidR="00A16BE3">
        <w:rPr>
          <w:lang w:eastAsia="cs-CZ"/>
        </w:rPr>
        <w:t xml:space="preserve"> nebo jinou osobou podepsané </w:t>
      </w:r>
      <w:r w:rsidR="00A16BE3">
        <w:rPr>
          <w:lang w:eastAsia="cs-CZ"/>
        </w:rPr>
        <w:lastRenderedPageBreak/>
        <w:t>potvrzení o její existenci</w:t>
      </w:r>
      <w:r>
        <w:rPr>
          <w:lang w:eastAsia="cs-CZ"/>
        </w:rPr>
        <w:t>, jejímž obsahem je závazek jiné osoby (poddodavatele) k poskytnutí plnění určeného k plnění veřejné zakázky nebo k poskytnutí věcí nebo práv, s nimiž bude dodavatel oprávněn disponovat při plnění VZ, a to alespoň v rozsahu, v jakém jiná osoba prokázala kvalifikaci za dodavatele.</w:t>
      </w:r>
      <w:r w:rsidR="00C1390B" w:rsidRPr="00C1390B">
        <w:t xml:space="preserve"> </w:t>
      </w:r>
      <w:r w:rsidR="00C1390B" w:rsidRPr="00C1390B">
        <w:rPr>
          <w:lang w:eastAsia="cs-CZ"/>
        </w:rPr>
        <w:t>V případě služeb musí smlouva nebo potvrzení obsahovat závazek, že jiná osoba bude vykonávat služby, ke kterým se prokazované kritérium kvalifikace vztahuje.</w:t>
      </w:r>
      <w:r>
        <w:rPr>
          <w:lang w:eastAsia="cs-CZ"/>
        </w:rPr>
        <w:t xml:space="preserve"> Jiná osoba, resp. poddodavatel předloží též do uzavření smlouvy prostřednictvím dodavatele </w:t>
      </w:r>
      <w:r w:rsidR="00A16BE3">
        <w:rPr>
          <w:lang w:eastAsia="cs-CZ"/>
        </w:rPr>
        <w:t>čestné prohlášení, kterým prokáže splnění základní způsobilosti</w:t>
      </w:r>
      <w:r>
        <w:rPr>
          <w:lang w:eastAsia="cs-CZ"/>
        </w:rPr>
        <w:t xml:space="preserve"> podle § 74 ZZVZ,</w:t>
      </w:r>
      <w:r w:rsidR="00A16BE3">
        <w:rPr>
          <w:lang w:eastAsia="cs-CZ"/>
        </w:rPr>
        <w:t xml:space="preserve"> a profesní způsobilosti dle § 77 odst. 1 ZZVZ (je-li zapsán v obchodním rejstříku),</w:t>
      </w:r>
      <w:r>
        <w:rPr>
          <w:lang w:eastAsia="cs-CZ"/>
        </w:rPr>
        <w:t xml:space="preserve"> a</w:t>
      </w:r>
      <w:r w:rsidR="00A16BE3">
        <w:rPr>
          <w:lang w:eastAsia="cs-CZ"/>
        </w:rPr>
        <w:t xml:space="preserve"> dále</w:t>
      </w:r>
      <w:r>
        <w:rPr>
          <w:lang w:eastAsia="cs-CZ"/>
        </w:rPr>
        <w:t xml:space="preserve"> doklady prokazující splnění chybějící části kvalifikace za dodavatele.</w:t>
      </w:r>
      <w:r w:rsidR="00A16BE3">
        <w:rPr>
          <w:lang w:eastAsia="cs-CZ"/>
        </w:rPr>
        <w:t xml:space="preserve"> Zadavatel je oprávněn požadovat předložení vybraných kvalifikačních dokladů </w:t>
      </w:r>
      <w:r w:rsidR="00A16BE3" w:rsidRPr="00686925">
        <w:rPr>
          <w:lang w:eastAsia="cs-CZ"/>
        </w:rPr>
        <w:t>poddodavatele v</w:t>
      </w:r>
      <w:r w:rsidR="00AD259C" w:rsidRPr="00686925">
        <w:rPr>
          <w:lang w:eastAsia="cs-CZ"/>
        </w:rPr>
        <w:t xml:space="preserve"> elektronických </w:t>
      </w:r>
      <w:r w:rsidR="00A16BE3" w:rsidRPr="00686925">
        <w:rPr>
          <w:lang w:eastAsia="cs-CZ"/>
        </w:rPr>
        <w:t xml:space="preserve">kopiích nebo originálech či </w:t>
      </w:r>
      <w:r w:rsidR="00686925" w:rsidRPr="00686925">
        <w:rPr>
          <w:lang w:eastAsia="cs-CZ"/>
        </w:rPr>
        <w:t xml:space="preserve">autorizovaných konverzích listinných originálních dokumentů </w:t>
      </w:r>
      <w:r w:rsidR="00A16BE3" w:rsidRPr="00686925">
        <w:rPr>
          <w:lang w:eastAsia="cs-CZ"/>
        </w:rPr>
        <w:t>před uzavřením smlouvy.</w:t>
      </w:r>
    </w:p>
    <w:p w14:paraId="05990647" w14:textId="07B8F20A" w:rsidR="0045331A" w:rsidRPr="00083905" w:rsidRDefault="0045331A" w:rsidP="00C177CA">
      <w:pPr>
        <w:spacing w:before="120" w:after="0"/>
        <w:rPr>
          <w:lang w:eastAsia="cs-CZ"/>
        </w:rPr>
      </w:pPr>
      <w:r w:rsidRPr="00083905">
        <w:rPr>
          <w:lang w:eastAsia="cs-CZ"/>
        </w:rPr>
        <w:t>K prokázání kvalifikace je dodavatel oprávněn odkázat na odpovídající informace v informačním systému veřejné správy nebo obdobném systému s neomezeným dálkovým přístupem</w:t>
      </w:r>
      <w:r w:rsidR="009C31E1">
        <w:rPr>
          <w:lang w:eastAsia="cs-CZ"/>
        </w:rPr>
        <w:t>, zejména na seznam kvalifikovaných dodavatelů, obchodní rejstřík, živnostenský rejstřík, apod</w:t>
      </w:r>
      <w:r w:rsidRPr="00083905">
        <w:rPr>
          <w:lang w:eastAsia="cs-CZ"/>
        </w:rPr>
        <w:t>. Odkaz bude obsahovat internetovou adresu a je-li potřeba, také údaje pro přihlášení a vyhledání požadované informace.</w:t>
      </w:r>
    </w:p>
    <w:p w14:paraId="5A9293A7" w14:textId="1261FCBB" w:rsidR="0045331A" w:rsidRDefault="0045331A" w:rsidP="00C177CA">
      <w:pPr>
        <w:spacing w:before="120" w:after="0"/>
        <w:rPr>
          <w:lang w:eastAsia="cs-CZ"/>
        </w:rPr>
      </w:pPr>
      <w:r w:rsidRPr="00083905">
        <w:rPr>
          <w:lang w:eastAsia="cs-CZ"/>
        </w:rPr>
        <w:t>Přípustné je odkázat na doklad</w:t>
      </w:r>
      <w:r w:rsidR="000C5F56">
        <w:rPr>
          <w:lang w:eastAsia="cs-CZ"/>
        </w:rPr>
        <w:t>y doložené dodavatelem v jiné veřejné zakázce</w:t>
      </w:r>
      <w:r w:rsidRPr="00083905">
        <w:rPr>
          <w:lang w:eastAsia="cs-CZ"/>
        </w:rPr>
        <w:t xml:space="preserve">, pokud jsou aktuální. </w:t>
      </w:r>
    </w:p>
    <w:p w14:paraId="2042E4E2" w14:textId="4277408D" w:rsidR="0045331A" w:rsidRDefault="0045331A" w:rsidP="00C177CA">
      <w:pPr>
        <w:pStyle w:val="Bezmezer"/>
        <w:spacing w:before="120"/>
        <w:jc w:val="both"/>
        <w:rPr>
          <w:lang w:eastAsia="cs-CZ"/>
        </w:rPr>
      </w:pPr>
      <w:r>
        <w:rPr>
          <w:lang w:eastAsia="cs-CZ"/>
        </w:rPr>
        <w:t xml:space="preserve">Doklady jsou předkládány v českém nebo </w:t>
      </w:r>
      <w:r w:rsidR="008B68DE">
        <w:rPr>
          <w:lang w:eastAsia="cs-CZ"/>
        </w:rPr>
        <w:t xml:space="preserve">slovenském jazyce. Doklady o vzdělání mohou být doloženy také v latinském jazyce. </w:t>
      </w:r>
      <w:r>
        <w:rPr>
          <w:lang w:eastAsia="cs-CZ"/>
        </w:rPr>
        <w:t>K dokladu, který je vyhotoven v jiném jazyce dodavatel připojí prostý překlad tohoto dokladu do českého jazyka.</w:t>
      </w:r>
    </w:p>
    <w:p w14:paraId="415365E1" w14:textId="77777777" w:rsidR="0045331A" w:rsidRPr="006130F2" w:rsidRDefault="0045331A" w:rsidP="00C1390B">
      <w:pPr>
        <w:spacing w:before="120"/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Poddodavatelé</w:t>
      </w:r>
    </w:p>
    <w:p w14:paraId="37782FEC" w14:textId="15CB6B91" w:rsidR="0045331A" w:rsidRDefault="00D415B1" w:rsidP="0045331A">
      <w:r>
        <w:t>U veřejných zakázek na služby v</w:t>
      </w:r>
      <w:r w:rsidR="0045331A" w:rsidRPr="00C177CA">
        <w:t>ybraný dodavatel do 10 pracovních dnů od doručení oznámení o výběru, nebo od uzavření smlouvy v případech, kdy se oznámení o výběru nezasílá, zašle administrátorovi identifikační údaje poddodavatelů, kteří se budou podílet na veřejné zakázce. Pokud nedošlo ke změně seznamu poddodavatelů s jejich identifikačními údaji oproti seznamu předloženému dodavatelem v nabídce (pokud ho dodavatel v nabídce předkládal), postačí písemné prohlášení dodavatele, že nedošlo ke změně a seznam poddodavatelů s jejich identifikačními údaji předložený v nabídce je aktuální. Nebude-li dodavatel využívat poddodávek, oznámí to v uvedené lhůtě. Vyskytne-li se nový poddodavatel nebo dojde ke změně poddodavatelů, oznámí dodavatel tyto skutečnosti neprodleně písemně zadavateli. Následná změna poddodavatelů je přípustná pouze s předchozím souhlasem zadavatele.</w:t>
      </w:r>
    </w:p>
    <w:p w14:paraId="18D339A4" w14:textId="77777777" w:rsidR="0045331A" w:rsidRPr="006130F2" w:rsidRDefault="0045331A" w:rsidP="00025274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Společná nabídka</w:t>
      </w:r>
    </w:p>
    <w:p w14:paraId="7A57184C" w14:textId="1D07CDD8" w:rsidR="0045331A" w:rsidRPr="0033518A" w:rsidRDefault="0045331A" w:rsidP="0045331A">
      <w:r w:rsidRPr="0033518A">
        <w:t>Několik účastníků může podat společnou nabídku, má-li být předmět VZ plněn více dodavateli společně. V případě společné účasti dodavatelů prokazuje základní způsobilost</w:t>
      </w:r>
      <w:r w:rsidR="00797733">
        <w:t xml:space="preserve"> dle § 74 ZZVZ</w:t>
      </w:r>
      <w:r w:rsidRPr="0033518A">
        <w:t xml:space="preserve"> a </w:t>
      </w:r>
      <w:r w:rsidR="00797733">
        <w:t xml:space="preserve">profesní způsobilosti v rozsahu dle § 77 odst. 1 ZZVZ </w:t>
      </w:r>
      <w:r w:rsidRPr="0033518A">
        <w:t>každý dodavatel samostatně. Společní dodavatelé v nabídce doloží, jaké bude rozdělení odpovědnosti za plnění veřejné zakázky.</w:t>
      </w:r>
    </w:p>
    <w:p w14:paraId="7A4C2600" w14:textId="77777777" w:rsidR="0045331A" w:rsidRPr="006130F2" w:rsidRDefault="0045331A" w:rsidP="00025274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Zahraniční dodavatelé</w:t>
      </w:r>
    </w:p>
    <w:p w14:paraId="565ABAB8" w14:textId="77777777" w:rsidR="0045331A" w:rsidRPr="0033518A" w:rsidRDefault="0045331A" w:rsidP="0045331A">
      <w:r w:rsidRPr="0033518A">
        <w:t>Kvalifikace získaná v zahraničí se prokazuje doklady vydanými podle právního řádu země, ve které byla získána, a to v rozsahu požadovaném zadavatelem.</w:t>
      </w:r>
    </w:p>
    <w:p w14:paraId="71BA1442" w14:textId="77777777" w:rsidR="0045331A" w:rsidRPr="006130F2" w:rsidRDefault="0045331A" w:rsidP="00025274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Změny v kvalifikaci</w:t>
      </w:r>
    </w:p>
    <w:p w14:paraId="0AA82C01" w14:textId="77777777" w:rsidR="0045331A" w:rsidRDefault="0045331A" w:rsidP="0045331A">
      <w:r w:rsidRPr="0033518A">
        <w:t xml:space="preserve">Pokud po předložení dokladů nebo prohlášení o kvalifikaci dojde v průběhu </w:t>
      </w:r>
      <w:r>
        <w:t>zadávacího</w:t>
      </w:r>
      <w:r w:rsidRPr="0033518A">
        <w:t xml:space="preserve"> řízení ke změně kvalifikace účastníka </w:t>
      </w:r>
      <w:r>
        <w:t>zadávacího</w:t>
      </w:r>
      <w:r w:rsidRPr="0033518A">
        <w:t xml:space="preserve"> řízení, je dodavatel povinen bezodkladně tuto změnu zadavateli do</w:t>
      </w:r>
      <w:r>
        <w:t> </w:t>
      </w:r>
      <w:r w:rsidRPr="0033518A">
        <w:t>5</w:t>
      </w:r>
      <w:r>
        <w:t> </w:t>
      </w:r>
      <w:r w:rsidRPr="0033518A">
        <w:t>pracovních dnů oznámit a do 10 pracovních dnů od oznámení této změny předložit nové doklady nebo prohlášení ke kvalifikaci. Nevztahuje se to na případy, jestliže podmínky kvalifikace jsou přesto nadále splněny, nedošlo k ovlivnění kritérií pro snížení počtu dodavatelů nebo nabídek a nedošlo k ovlivnění kritérií hodnocení nabídek. Dodavatel, který nesplnil oznamovací povinnost při změně kvalifikace,</w:t>
      </w:r>
      <w:r>
        <w:t xml:space="preserve"> může být zadavatelem vyloučen ze zadávacího řízení</w:t>
      </w:r>
      <w:r w:rsidRPr="0033518A">
        <w:t>.</w:t>
      </w:r>
    </w:p>
    <w:p w14:paraId="70ACD7EF" w14:textId="77777777" w:rsidR="0045331A" w:rsidRPr="006130F2" w:rsidRDefault="0045331A" w:rsidP="00025274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Zvláštní způsoby prokázání kvalifikace</w:t>
      </w:r>
    </w:p>
    <w:p w14:paraId="31E4E728" w14:textId="77777777" w:rsidR="0045331A" w:rsidRPr="00563455" w:rsidRDefault="0045331A" w:rsidP="00285D79">
      <w:pPr>
        <w:pStyle w:val="Nadpis3"/>
        <w:numPr>
          <w:ilvl w:val="0"/>
          <w:numId w:val="14"/>
        </w:numPr>
        <w:spacing w:before="0" w:after="60" w:line="276" w:lineRule="auto"/>
        <w:ind w:left="284" w:hanging="284"/>
        <w:jc w:val="left"/>
      </w:pPr>
      <w:r w:rsidRPr="00563455">
        <w:t>Prokázání kvalifikace výpisem ze seznamu kvalifikovaných dodavatelů</w:t>
      </w:r>
    </w:p>
    <w:p w14:paraId="3584C2C6" w14:textId="672DBCE4" w:rsidR="0045331A" w:rsidRPr="00A90F91" w:rsidRDefault="0045331A" w:rsidP="00AE39CC">
      <w:pPr>
        <w:ind w:left="284"/>
      </w:pPr>
      <w:r w:rsidRPr="00A90F91">
        <w:t>Účastník zadávacího řízení může prokázání splnění základní kvalifikační způsobilosti podle §</w:t>
      </w:r>
      <w:r>
        <w:t> </w:t>
      </w:r>
      <w:r w:rsidRPr="00A90F91">
        <w:t>74</w:t>
      </w:r>
      <w:r w:rsidR="000C5F56">
        <w:t xml:space="preserve"> ZZVZ</w:t>
      </w:r>
      <w:r w:rsidRPr="00A90F91">
        <w:t xml:space="preserve"> a profesní způsobilosti podle § 77 </w:t>
      </w:r>
      <w:r w:rsidR="000C5F56">
        <w:t>ZZVZ</w:t>
      </w:r>
      <w:r w:rsidRPr="00A90F91">
        <w:t xml:space="preserve"> doložit výpisem ze seznamu kvalifikovaných dodavatelů v souladu s § 226 a násl. </w:t>
      </w:r>
      <w:r w:rsidR="001739E0">
        <w:t>ZZVZ</w:t>
      </w:r>
      <w:r w:rsidRPr="00A90F91">
        <w:t>. Doklad musí prokazovat splnění kritéri</w:t>
      </w:r>
      <w:r w:rsidR="002B7FB8">
        <w:t>í</w:t>
      </w:r>
      <w:r w:rsidRPr="00A90F91">
        <w:t xml:space="preserve"> </w:t>
      </w:r>
      <w:r w:rsidR="004174F1">
        <w:t xml:space="preserve">základní </w:t>
      </w:r>
      <w:r w:rsidRPr="00A90F91">
        <w:t>způsobilosti nejpozději v době 3 měsíců přede dnem zahájení zadávacího řízení.</w:t>
      </w:r>
    </w:p>
    <w:p w14:paraId="4130E638" w14:textId="77777777" w:rsidR="0045331A" w:rsidRPr="00753EC3" w:rsidRDefault="0045331A" w:rsidP="00285D79">
      <w:pPr>
        <w:pStyle w:val="Nadpis3"/>
        <w:numPr>
          <w:ilvl w:val="0"/>
          <w:numId w:val="14"/>
        </w:numPr>
        <w:spacing w:before="0" w:after="60" w:line="276" w:lineRule="auto"/>
        <w:ind w:left="284" w:hanging="284"/>
        <w:jc w:val="left"/>
      </w:pPr>
      <w:r>
        <w:t xml:space="preserve">Prokázání </w:t>
      </w:r>
      <w:r w:rsidRPr="00753EC3">
        <w:t>kvalifikace certifikátem</w:t>
      </w:r>
    </w:p>
    <w:p w14:paraId="0BFCC658" w14:textId="2D480F7F" w:rsidR="0045331A" w:rsidRDefault="0045331A" w:rsidP="00AE39CC">
      <w:pPr>
        <w:ind w:left="284"/>
      </w:pPr>
      <w:r w:rsidRPr="00DE29EF">
        <w:t xml:space="preserve">Předloží-li dodavatel zadavateli certifikát </w:t>
      </w:r>
      <w:r>
        <w:t xml:space="preserve">(dle § 233 </w:t>
      </w:r>
      <w:r w:rsidR="001739E0">
        <w:t>ZZVZ</w:t>
      </w:r>
      <w:r>
        <w:t xml:space="preserve">) </w:t>
      </w:r>
      <w:r w:rsidRPr="00DE29EF">
        <w:t xml:space="preserve">vydaný v rámci systému certifikovaných dodavatelů, který obsahuje náležitosti stanovené v § 239 </w:t>
      </w:r>
      <w:r w:rsidR="001739E0">
        <w:t>ZZVZ</w:t>
      </w:r>
      <w:r w:rsidRPr="00DE29EF">
        <w:t>, ve lhůtě pro prokázání splnění kvalifikace, nahrazuje tento certifikát v rozsahu v něm uvedených údajů prokázání splnění kvalifikace dodavatelem. Nejdelší přípustná platnost certifikátu je jeden rok</w:t>
      </w:r>
      <w:r>
        <w:t>. Doklad</w:t>
      </w:r>
      <w:r w:rsidRPr="00175069">
        <w:t xml:space="preserve"> musí prokazovat splnění kritéri</w:t>
      </w:r>
      <w:r w:rsidR="002B7FB8">
        <w:t>í</w:t>
      </w:r>
      <w:r w:rsidRPr="00175069">
        <w:t xml:space="preserve"> </w:t>
      </w:r>
      <w:r w:rsidR="002B7FB8">
        <w:t xml:space="preserve">základní </w:t>
      </w:r>
      <w:r w:rsidRPr="00175069">
        <w:t>způsobilosti nejpozději v době 3 měsíců přede dnem zahájení zadávacího řízení.</w:t>
      </w:r>
    </w:p>
    <w:p w14:paraId="0122281D" w14:textId="709924D5" w:rsidR="00EE557A" w:rsidRDefault="00805DBC" w:rsidP="00EE557A">
      <w:hyperlink w:anchor="_KVALIFIKACE_1" w:history="1">
        <w:r w:rsidR="00EE557A" w:rsidRPr="00EE557A">
          <w:rPr>
            <w:rStyle w:val="Hypertextovodkaz"/>
          </w:rPr>
          <w:t>Zpět na článek č. 3 ZD</w:t>
        </w:r>
      </w:hyperlink>
    </w:p>
    <w:p w14:paraId="7B51C2D5" w14:textId="77777777" w:rsidR="0045331A" w:rsidRPr="00025274" w:rsidRDefault="0045331A" w:rsidP="006130F2">
      <w:pPr>
        <w:pStyle w:val="Nadpis1"/>
      </w:pPr>
      <w:bookmarkStart w:id="108" w:name="_OBCHODNÍ_PODMÍNKY"/>
      <w:bookmarkStart w:id="109" w:name="_Toc155796909"/>
      <w:bookmarkEnd w:id="108"/>
      <w:r w:rsidRPr="00025274">
        <w:t>OBCHODNÍ PODMÍNKY</w:t>
      </w:r>
      <w:bookmarkEnd w:id="109"/>
    </w:p>
    <w:p w14:paraId="0AAC4D4F" w14:textId="48FDA462" w:rsidR="0045331A" w:rsidRDefault="0045331A" w:rsidP="001739E0">
      <w:pPr>
        <w:rPr>
          <w:u w:val="single"/>
        </w:rPr>
      </w:pPr>
      <w:r w:rsidRPr="00715AB4">
        <w:t>Závazné obchodní</w:t>
      </w:r>
      <w:r>
        <w:t xml:space="preserve"> </w:t>
      </w:r>
      <w:r w:rsidRPr="00715AB4">
        <w:t>podmínky</w:t>
      </w:r>
      <w:r w:rsidR="00721A97">
        <w:t>, včetně platebních, dodacích, záručních a sankčních</w:t>
      </w:r>
      <w:r w:rsidRPr="00715AB4">
        <w:t xml:space="preserve"> </w:t>
      </w:r>
      <w:r w:rsidR="00721A97">
        <w:t xml:space="preserve">podmínek, </w:t>
      </w:r>
      <w:r w:rsidRPr="00715AB4">
        <w:t xml:space="preserve">jsou </w:t>
      </w:r>
      <w:r>
        <w:t>podrobně vymezeny</w:t>
      </w:r>
      <w:r w:rsidRPr="00715AB4">
        <w:t xml:space="preserve"> v návrhu </w:t>
      </w:r>
      <w:r w:rsidRPr="00D9699A">
        <w:t>Smlouvy</w:t>
      </w:r>
      <w:r>
        <w:t xml:space="preserve"> o dílo</w:t>
      </w:r>
      <w:r w:rsidRPr="00D9699A">
        <w:t xml:space="preserve"> (Příloha č.</w:t>
      </w:r>
      <w:r>
        <w:t xml:space="preserve"> </w:t>
      </w:r>
      <w:r w:rsidR="00721A97">
        <w:t>3</w:t>
      </w:r>
      <w:r w:rsidRPr="00D9699A">
        <w:t xml:space="preserve"> ZD).</w:t>
      </w:r>
      <w:r>
        <w:t xml:space="preserve"> </w:t>
      </w:r>
    </w:p>
    <w:p w14:paraId="326787B5" w14:textId="77777777" w:rsidR="0045331A" w:rsidRDefault="0045331A" w:rsidP="0045331A">
      <w:pPr>
        <w:rPr>
          <w:rFonts w:cs="Calibri"/>
        </w:rPr>
      </w:pPr>
      <w:r w:rsidRPr="00D55286">
        <w:rPr>
          <w:rFonts w:cs="Calibri"/>
        </w:rPr>
        <w:t>Všechny údaje uvedené v konečné smlouvě budou veřejné. Pokud dodavatel nesouhlasí s uveřejněním některých informací, například z důvodu ochrany obchodního tajemství, označí je v nabídce.</w:t>
      </w:r>
    </w:p>
    <w:p w14:paraId="628DAD81" w14:textId="31AA080F" w:rsidR="00F34CA7" w:rsidRPr="003B72E1" w:rsidRDefault="00F34CA7" w:rsidP="0045331A">
      <w:pPr>
        <w:rPr>
          <w:rFonts w:cs="Calibri"/>
        </w:rPr>
      </w:pPr>
      <w:r w:rsidRPr="00686925">
        <w:rPr>
          <w:rFonts w:cs="Calibri"/>
        </w:rPr>
        <w:t>S vybraným dodavatelem bude uzavřena smlouva dle Přílohy č. 3 ZD – Návrh smlouvy, doplněn</w:t>
      </w:r>
      <w:r w:rsidR="007877D7">
        <w:rPr>
          <w:rFonts w:cs="Calibri"/>
        </w:rPr>
        <w:t>ý</w:t>
      </w:r>
      <w:r w:rsidRPr="00686925">
        <w:rPr>
          <w:rFonts w:cs="Calibri"/>
        </w:rPr>
        <w:t xml:space="preserve"> o údaje uvedené vybraným dodavatelem v</w:t>
      </w:r>
      <w:r w:rsidR="007C1DC4" w:rsidRPr="00686925">
        <w:rPr>
          <w:rFonts w:cs="Calibri"/>
        </w:rPr>
        <w:t xml:space="preserve"> nabídce</w:t>
      </w:r>
      <w:r w:rsidRPr="00686925">
        <w:rPr>
          <w:rFonts w:cs="Calibri"/>
        </w:rPr>
        <w:t>.</w:t>
      </w:r>
      <w:r>
        <w:rPr>
          <w:rFonts w:cs="Calibri"/>
        </w:rPr>
        <w:t xml:space="preserve"> </w:t>
      </w:r>
    </w:p>
    <w:p w14:paraId="159265DF" w14:textId="5E802F3B" w:rsidR="00594942" w:rsidRPr="00C177CA" w:rsidRDefault="00805DBC" w:rsidP="00C177CA">
      <w:hyperlink w:anchor="_OBCHODNÍ_PODMÍNKY_1" w:history="1">
        <w:r w:rsidR="007F3700">
          <w:rPr>
            <w:rStyle w:val="Hypertextovodkaz"/>
          </w:rPr>
          <w:t>Zpět</w:t>
        </w:r>
        <w:r w:rsidR="00594942" w:rsidRPr="00594942">
          <w:rPr>
            <w:rStyle w:val="Hypertextovodkaz"/>
          </w:rPr>
          <w:t xml:space="preserve"> na článek č. 4 ZD</w:t>
        </w:r>
      </w:hyperlink>
    </w:p>
    <w:p w14:paraId="3C1C8A83" w14:textId="2C6C8DA1" w:rsidR="0045331A" w:rsidRPr="00AE39CC" w:rsidRDefault="00DF29A1" w:rsidP="006130F2">
      <w:pPr>
        <w:pStyle w:val="Nadpis1"/>
      </w:pPr>
      <w:bookmarkStart w:id="110" w:name="_POŽADAVKY_ZADAVATELE"/>
      <w:bookmarkStart w:id="111" w:name="_DALŠÍ_PODMÍNKY_ZADÁVACÍHO"/>
      <w:bookmarkStart w:id="112" w:name="_Toc155796910"/>
      <w:bookmarkEnd w:id="110"/>
      <w:bookmarkEnd w:id="111"/>
      <w:r>
        <w:t>DALŠÍ PODMÍNKY ZADÁVACÍHO ŘÍZENÍ</w:t>
      </w:r>
      <w:bookmarkEnd w:id="112"/>
    </w:p>
    <w:p w14:paraId="2DFA8EF8" w14:textId="77777777" w:rsidR="0045331A" w:rsidRPr="00AE39CC" w:rsidRDefault="0045331A" w:rsidP="00A94922">
      <w:pPr>
        <w:pStyle w:val="Nadpis2"/>
      </w:pPr>
      <w:bookmarkStart w:id="113" w:name="_Jistota"/>
      <w:bookmarkStart w:id="114" w:name="_Toc155796911"/>
      <w:bookmarkEnd w:id="113"/>
      <w:r w:rsidRPr="00AE39CC">
        <w:t>Jistota</w:t>
      </w:r>
      <w:bookmarkEnd w:id="114"/>
    </w:p>
    <w:p w14:paraId="7431C79D" w14:textId="32C744CF" w:rsidR="0045331A" w:rsidRPr="009F31B7" w:rsidRDefault="00B84618" w:rsidP="0045331A">
      <w:r>
        <w:t>Pokud je z</w:t>
      </w:r>
      <w:r w:rsidR="0045331A" w:rsidRPr="009F31B7">
        <w:t>adavatel</w:t>
      </w:r>
      <w:r>
        <w:t xml:space="preserve">em v čl. 5 </w:t>
      </w:r>
      <w:r w:rsidR="00A80E43">
        <w:t>ZD</w:t>
      </w:r>
      <w:r w:rsidR="0045331A" w:rsidRPr="009F31B7">
        <w:t xml:space="preserve"> </w:t>
      </w:r>
      <w:r w:rsidR="0045331A" w:rsidRPr="00931D48">
        <w:t>požad</w:t>
      </w:r>
      <w:r>
        <w:t>ována, postupuje</w:t>
      </w:r>
      <w:r w:rsidR="0045331A" w:rsidRPr="00931D48">
        <w:t xml:space="preserve"> </w:t>
      </w:r>
      <w:r w:rsidR="00AD259C">
        <w:t xml:space="preserve">se </w:t>
      </w:r>
      <w:r w:rsidR="0045331A" w:rsidRPr="00931D48">
        <w:t>v souladu s § 41</w:t>
      </w:r>
      <w:r>
        <w:t xml:space="preserve"> ZZVZ. </w:t>
      </w:r>
    </w:p>
    <w:p w14:paraId="7F40060A" w14:textId="77777777" w:rsidR="0045331A" w:rsidRDefault="0045331A" w:rsidP="0045331A">
      <w:r>
        <w:t>Účastník zadávacího řízení prokáže v nabídce poskytnutí jistoty</w:t>
      </w:r>
    </w:p>
    <w:p w14:paraId="5634A3F2" w14:textId="77777777" w:rsidR="0045331A" w:rsidRDefault="0045331A" w:rsidP="00285D79">
      <w:pPr>
        <w:pStyle w:val="Odstavecseseznamem"/>
        <w:numPr>
          <w:ilvl w:val="0"/>
          <w:numId w:val="5"/>
        </w:numPr>
        <w:ind w:left="426" w:hanging="284"/>
      </w:pPr>
      <w:r>
        <w:t xml:space="preserve">sdělením údajů o provedené platbě </w:t>
      </w:r>
    </w:p>
    <w:p w14:paraId="3C824D8F" w14:textId="77777777" w:rsidR="0045331A" w:rsidRDefault="0045331A" w:rsidP="00285D79">
      <w:pPr>
        <w:pStyle w:val="Odstavecseseznamem"/>
        <w:numPr>
          <w:ilvl w:val="0"/>
          <w:numId w:val="5"/>
        </w:numPr>
        <w:ind w:left="426" w:hanging="284"/>
      </w:pPr>
      <w:r>
        <w:t>předložením dokladu, prokazující povinnost banky nebo pojišťovny vyplatit zadavateli jistotu na základě jeho sdělení (</w:t>
      </w:r>
      <w:r w:rsidRPr="00736309">
        <w:t>v případě bankovní záruky)</w:t>
      </w:r>
      <w:r>
        <w:t xml:space="preserve"> – nutno zajistit platnost po celou dobu trvání zadávací lhůty</w:t>
      </w:r>
    </w:p>
    <w:p w14:paraId="6DE64E33" w14:textId="1FD003BD" w:rsidR="0045331A" w:rsidRDefault="0045331A" w:rsidP="0045331A">
      <w:r>
        <w:t xml:space="preserve">Zadavatel v souladu s § 41 odst. 6 </w:t>
      </w:r>
      <w:r w:rsidR="00BD5369">
        <w:t xml:space="preserve">ZZVZ </w:t>
      </w:r>
      <w:r>
        <w:t xml:space="preserve">vrátí peněžní jistotu </w:t>
      </w:r>
      <w:r w:rsidR="00B06B08" w:rsidRPr="00A80E43">
        <w:t>včetně úroků zúčtovaných peněžním ústavem</w:t>
      </w:r>
      <w:r w:rsidR="00B06B08" w:rsidRPr="00A80E43">
        <w:rPr>
          <w:rFonts w:cs="Calibri"/>
        </w:rPr>
        <w:t xml:space="preserve"> </w:t>
      </w:r>
      <w:r>
        <w:rPr>
          <w:rFonts w:cs="Calibri"/>
        </w:rPr>
        <w:t>nebo sdělí poskytovateli</w:t>
      </w:r>
      <w:r w:rsidRPr="006F271D">
        <w:rPr>
          <w:rFonts w:cs="Calibri"/>
        </w:rPr>
        <w:t xml:space="preserve"> bankovní záruky </w:t>
      </w:r>
      <w:r>
        <w:rPr>
          <w:rFonts w:cs="Calibri"/>
        </w:rPr>
        <w:t xml:space="preserve">nebo pojistiteli, že jistota může být uvolněna, </w:t>
      </w:r>
      <w:r>
        <w:t>po uplynutí zadávací lhůty nebo poté, co zanikne účastníku zadávacího řízení jeho účast v zadávacím řízení před uplynutím zadávací lhůty, nebo po ukončení zadávacího řízení.</w:t>
      </w:r>
    </w:p>
    <w:p w14:paraId="3BE6D084" w14:textId="5D93E947" w:rsidR="00B06B08" w:rsidRDefault="00B06B08" w:rsidP="0045331A">
      <w:r w:rsidRPr="00A80E43">
        <w:t xml:space="preserve">Zadavatel má právo na plnění jistoty včetně úroků zúčtovaných peněžním ústavem, pokud dodavateli zanikla po vyloučení účast v zadávacím řízení podle § 122 odst. 8 </w:t>
      </w:r>
      <w:r w:rsidR="00BD5369">
        <w:t xml:space="preserve">ZZVZ </w:t>
      </w:r>
      <w:r w:rsidRPr="00A80E43">
        <w:t>nebo § 124 odst. 2 ZZVZ.</w:t>
      </w:r>
    </w:p>
    <w:p w14:paraId="44160E91" w14:textId="56A0E6F8" w:rsidR="007F3700" w:rsidRPr="00A80E43" w:rsidRDefault="00805DBC" w:rsidP="0045331A">
      <w:hyperlink w:anchor="_Jistota_1" w:history="1">
        <w:r w:rsidR="007F3700" w:rsidRPr="007F3700">
          <w:rPr>
            <w:rStyle w:val="Hypertextovodkaz"/>
          </w:rPr>
          <w:t>Zpět na článek č. 5.1 ZD</w:t>
        </w:r>
      </w:hyperlink>
    </w:p>
    <w:p w14:paraId="7C5D7A8D" w14:textId="77777777" w:rsidR="0045331A" w:rsidRPr="00AE39CC" w:rsidRDefault="0045331A" w:rsidP="00A94922">
      <w:pPr>
        <w:pStyle w:val="Nadpis2"/>
      </w:pPr>
      <w:bookmarkStart w:id="115" w:name="_Zadávací_lhůta"/>
      <w:bookmarkStart w:id="116" w:name="_Toc155796912"/>
      <w:bookmarkEnd w:id="115"/>
      <w:r w:rsidRPr="00AE39CC">
        <w:t>Zadávací lhůta</w:t>
      </w:r>
      <w:bookmarkEnd w:id="116"/>
    </w:p>
    <w:p w14:paraId="7449B495" w14:textId="532F2DD9" w:rsidR="00721A97" w:rsidRDefault="0045331A" w:rsidP="0045331A">
      <w:r w:rsidRPr="009F31B7">
        <w:t xml:space="preserve">Zadavatel </w:t>
      </w:r>
      <w:r w:rsidR="002F79CF">
        <w:t>může stanovit</w:t>
      </w:r>
      <w:r w:rsidRPr="00931D48">
        <w:t xml:space="preserve"> v souladu s § 40 </w:t>
      </w:r>
      <w:r w:rsidR="0097157E">
        <w:t>ZZVZ</w:t>
      </w:r>
      <w:r w:rsidRPr="00931D48">
        <w:t xml:space="preserve"> zadávací lhůtu, po kterou je účastník zadávacího řízení vázán svojí nabídkou a nesmí ze zadávacího řízení odstoupit. Počátkem zadávací lhůty je konec lhůty pro podání nabídek. Zadávací lhůta končí uzavřením </w:t>
      </w:r>
      <w:r w:rsidR="005B4EDE" w:rsidRPr="00931D48">
        <w:t xml:space="preserve">smlouvy </w:t>
      </w:r>
      <w:r w:rsidR="005B4EDE">
        <w:t>na plnění veřejné zakázky</w:t>
      </w:r>
      <w:r w:rsidR="005B4EDE" w:rsidRPr="00931D48">
        <w:t xml:space="preserve"> </w:t>
      </w:r>
      <w:r w:rsidRPr="00931D48">
        <w:t xml:space="preserve">nebo uplynutím </w:t>
      </w:r>
      <w:r w:rsidR="002F79CF">
        <w:t>stanovené zadávací lhůty</w:t>
      </w:r>
      <w:r w:rsidRPr="0083767E">
        <w:t xml:space="preserve"> od</w:t>
      </w:r>
      <w:r w:rsidRPr="00931D48">
        <w:t xml:space="preserve"> konce lhůty pro</w:t>
      </w:r>
      <w:r>
        <w:t xml:space="preserve"> podání nabídek. Zadávací lhůta se prodlužuje o </w:t>
      </w:r>
      <w:r w:rsidRPr="00931D48">
        <w:t xml:space="preserve">dobu, ve které nesmí zadavatel uzavřít smlouvu dle § 246 </w:t>
      </w:r>
      <w:r w:rsidR="0097157E">
        <w:t>ZZVZ</w:t>
      </w:r>
      <w:r w:rsidRPr="00931D48">
        <w:t>.</w:t>
      </w:r>
    </w:p>
    <w:p w14:paraId="4C6A1FE8" w14:textId="49993A39" w:rsidR="007F3700" w:rsidRPr="009533CE" w:rsidRDefault="00805DBC" w:rsidP="0045331A">
      <w:hyperlink w:anchor="_Zadávací_lhůta_1" w:history="1">
        <w:r w:rsidR="007F3700" w:rsidRPr="007F3700">
          <w:rPr>
            <w:rStyle w:val="Hypertextovodkaz"/>
          </w:rPr>
          <w:t>Zpět na článek č. 5.2 ZD</w:t>
        </w:r>
      </w:hyperlink>
    </w:p>
    <w:p w14:paraId="442CAD80" w14:textId="77777777" w:rsidR="0045331A" w:rsidRPr="009533CE" w:rsidRDefault="0045331A" w:rsidP="00A94922">
      <w:pPr>
        <w:pStyle w:val="Nadpis2"/>
      </w:pPr>
      <w:bookmarkStart w:id="117" w:name="_Prohlídka_místa_plnění"/>
      <w:bookmarkStart w:id="118" w:name="_Toc155796913"/>
      <w:bookmarkEnd w:id="117"/>
      <w:r w:rsidRPr="00AE39CC">
        <w:t>Prohlídka místa plnění</w:t>
      </w:r>
      <w:bookmarkEnd w:id="118"/>
    </w:p>
    <w:p w14:paraId="20E54FFA" w14:textId="6C3F2A33" w:rsidR="0045331A" w:rsidRDefault="00B8439F" w:rsidP="0045331A">
      <w:r>
        <w:t>Pokud se uskuteční p</w:t>
      </w:r>
      <w:r w:rsidRPr="000A0992">
        <w:t>rohlídka místa budoucího plnění</w:t>
      </w:r>
      <w:r>
        <w:t>,</w:t>
      </w:r>
      <w:r w:rsidRPr="000A0992">
        <w:t xml:space="preserve"> </w:t>
      </w:r>
      <w:r w:rsidR="0045331A" w:rsidRPr="000A0992">
        <w:t>slouží výhradně k seznámení dodavatelů se stávajícím místem budoucího plnění. Pokud při prohlídce místa budoucího plnění vzniknou nejasnosti nebo dotazy vztahující se k obsahu Zadávací dokumentace, je dodavatel povinen vznést tento dotaz písemně prostřednictvím EZAK, event. emailem na adresu administrátora veřejné zakázky a pouze písemná odpověď má závazný charakter. Za</w:t>
      </w:r>
      <w:r w:rsidR="00F52C8E">
        <w:t>davatel dotaz i odpověď zveřej</w:t>
      </w:r>
      <w:r w:rsidR="0045331A" w:rsidRPr="000A0992">
        <w:t xml:space="preserve">ní v souladu s </w:t>
      </w:r>
      <w:r w:rsidR="0097157E">
        <w:t>bodem</w:t>
      </w:r>
      <w:r w:rsidR="0045331A" w:rsidRPr="000A0992">
        <w:t xml:space="preserve"> </w:t>
      </w:r>
      <w:r w:rsidR="0097157E">
        <w:t>9</w:t>
      </w:r>
      <w:r w:rsidR="0045331A" w:rsidRPr="000A0992">
        <w:t xml:space="preserve"> </w:t>
      </w:r>
      <w:r w:rsidR="0097157E">
        <w:t xml:space="preserve">těchto </w:t>
      </w:r>
      <w:r w:rsidR="00F52C8E">
        <w:t>Obecných podmínek zadávacího řízení</w:t>
      </w:r>
      <w:r w:rsidR="00F52C8E" w:rsidRPr="000A0992">
        <w:t xml:space="preserve"> </w:t>
      </w:r>
      <w:r w:rsidR="0045331A" w:rsidRPr="000A0992">
        <w:t>v detailu veřejné zakázky v E-ZAK.</w:t>
      </w:r>
    </w:p>
    <w:p w14:paraId="186747F3" w14:textId="18921763" w:rsidR="00F52C8E" w:rsidRDefault="00805DBC" w:rsidP="0045331A">
      <w:hyperlink w:anchor="_Prohlídka_místa_plnění_1" w:history="1">
        <w:r w:rsidR="00F52C8E" w:rsidRPr="00F52C8E">
          <w:rPr>
            <w:rStyle w:val="Hypertextovodkaz"/>
          </w:rPr>
          <w:t>Zpět na článek č. 5.3 ZD</w:t>
        </w:r>
      </w:hyperlink>
    </w:p>
    <w:p w14:paraId="7356E0E2" w14:textId="133A94CE" w:rsidR="00721A97" w:rsidRPr="00F34CA7" w:rsidRDefault="00721A97" w:rsidP="00A94922">
      <w:pPr>
        <w:pStyle w:val="Nadpis2"/>
      </w:pPr>
      <w:bookmarkStart w:id="119" w:name="_Pojištění"/>
      <w:bookmarkStart w:id="120" w:name="_Toc155796914"/>
      <w:bookmarkEnd w:id="119"/>
      <w:r w:rsidRPr="00F34CA7">
        <w:t>Pojištění</w:t>
      </w:r>
      <w:bookmarkEnd w:id="120"/>
    </w:p>
    <w:p w14:paraId="0420F01C" w14:textId="3FFAF4C1" w:rsidR="007B4C59" w:rsidRDefault="001E298F" w:rsidP="0045331A">
      <w:r>
        <w:t>Je-li pojištění požadováno, n</w:t>
      </w:r>
      <w:r w:rsidR="00721A97" w:rsidRPr="00C177CA">
        <w:t xml:space="preserve">ejpozději před uzavřením smlouvy o dílo předloží vybraný dodavatel </w:t>
      </w:r>
      <w:r w:rsidR="008B503A">
        <w:t>zadavateli</w:t>
      </w:r>
      <w:r w:rsidR="00721A97" w:rsidRPr="00C177CA">
        <w:t xml:space="preserve"> certifikát/pr</w:t>
      </w:r>
      <w:r w:rsidR="00D20C49">
        <w:t xml:space="preserve">ohlášení/potvrzení pojistitele, postačí </w:t>
      </w:r>
      <w:r w:rsidR="00721A97" w:rsidRPr="00C177CA">
        <w:t>v kopii, ze kterého bude jasně vyplývat splnění požadavků na pojištění. Nepředložení potvrzení pojistitele bude považováno za neposkytnutí součinnosti.</w:t>
      </w:r>
    </w:p>
    <w:p w14:paraId="648CC75C" w14:textId="5CDB97EC" w:rsidR="00B533E0" w:rsidRPr="000A0992" w:rsidRDefault="00805DBC" w:rsidP="0045331A">
      <w:hyperlink w:anchor="_Pojištění_1" w:history="1">
        <w:r w:rsidR="00F52C8E" w:rsidRPr="00F52C8E">
          <w:rPr>
            <w:rStyle w:val="Hypertextovodkaz"/>
          </w:rPr>
          <w:t>Zpět na článek č. 5.4 ZD</w:t>
        </w:r>
      </w:hyperlink>
    </w:p>
    <w:p w14:paraId="13DC9985" w14:textId="77777777" w:rsidR="0045331A" w:rsidRPr="006130F2" w:rsidRDefault="0045331A" w:rsidP="006130F2">
      <w:pPr>
        <w:pStyle w:val="Nadpis1"/>
      </w:pPr>
      <w:bookmarkStart w:id="121" w:name="_NABÍDKOVÁ_CENA"/>
      <w:bookmarkStart w:id="122" w:name="_Toc155796915"/>
      <w:bookmarkEnd w:id="121"/>
      <w:r w:rsidRPr="006130F2">
        <w:t>NABÍDKOVÁ CENA</w:t>
      </w:r>
      <w:bookmarkEnd w:id="122"/>
    </w:p>
    <w:p w14:paraId="10FA2D0E" w14:textId="77777777" w:rsidR="0045331A" w:rsidRPr="006130F2" w:rsidRDefault="0045331A" w:rsidP="005B3DC2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Zpracování nabídkové ceny</w:t>
      </w:r>
    </w:p>
    <w:p w14:paraId="689F2C3A" w14:textId="77777777" w:rsidR="0045331A" w:rsidRPr="00F60191" w:rsidRDefault="0045331A" w:rsidP="0045331A">
      <w:r w:rsidRPr="00B92C7E">
        <w:t>Nabídková cena bude uvedena v  českých korunách (CZK).</w:t>
      </w:r>
    </w:p>
    <w:p w14:paraId="0A338834" w14:textId="003963F3" w:rsidR="00E262F6" w:rsidRDefault="0045331A" w:rsidP="0045331A">
      <w:r w:rsidRPr="00537C25">
        <w:t xml:space="preserve">Dodavatel </w:t>
      </w:r>
      <w:r w:rsidR="000927EC">
        <w:t xml:space="preserve">zpracuje nabídkovou cenu vyplněním </w:t>
      </w:r>
      <w:r w:rsidR="001311CF" w:rsidRPr="008143FC">
        <w:t>Krycího listu</w:t>
      </w:r>
      <w:r w:rsidR="001311CF">
        <w:rPr>
          <w:b/>
        </w:rPr>
        <w:t xml:space="preserve"> </w:t>
      </w:r>
      <w:r w:rsidR="001311CF" w:rsidRPr="004C5B08">
        <w:t xml:space="preserve">(Příloha č. 1 ZD) </w:t>
      </w:r>
      <w:r w:rsidR="001311CF" w:rsidRPr="00754C5D">
        <w:t xml:space="preserve">a </w:t>
      </w:r>
      <w:r w:rsidR="001311CF" w:rsidRPr="008143FC">
        <w:t>Technické specifikace</w:t>
      </w:r>
      <w:r w:rsidR="000927EC">
        <w:t> </w:t>
      </w:r>
      <w:r w:rsidR="001311CF">
        <w:t>(Příloha</w:t>
      </w:r>
      <w:r w:rsidR="000927EC">
        <w:t xml:space="preserve"> č. 2 ZD</w:t>
      </w:r>
      <w:r w:rsidR="001311CF">
        <w:t>)</w:t>
      </w:r>
      <w:r w:rsidR="000927EC">
        <w:t xml:space="preserve"> Dodavatel vyplní ceny </w:t>
      </w:r>
      <w:r w:rsidRPr="00537C25">
        <w:t>v Kč bez DPH a cen</w:t>
      </w:r>
      <w:r w:rsidR="000927EC">
        <w:t>y</w:t>
      </w:r>
      <w:r w:rsidRPr="00537C25">
        <w:t xml:space="preserve"> včetně DPH</w:t>
      </w:r>
      <w:r w:rsidR="004C5B08">
        <w:t>.</w:t>
      </w:r>
    </w:p>
    <w:p w14:paraId="2D0B977E" w14:textId="52F7F260" w:rsidR="00E262F6" w:rsidRDefault="00E262F6" w:rsidP="0045331A">
      <w:pPr>
        <w:rPr>
          <w:lang w:eastAsia="cs-CZ"/>
        </w:rPr>
      </w:pPr>
      <w:r w:rsidRPr="003A6C3E">
        <w:rPr>
          <w:lang w:eastAsia="cs-CZ"/>
        </w:rPr>
        <w:t xml:space="preserve">Dodavatel nesmí měnit, slučovat nebo vypouštět položky </w:t>
      </w:r>
      <w:r w:rsidR="001311CF" w:rsidRPr="003A6C3E">
        <w:rPr>
          <w:lang w:eastAsia="cs-CZ"/>
        </w:rPr>
        <w:t>jednotlivých dodávek nebo služeb, které obsahuje Krycí list (Příloha č. 1 ZD) nebo Technická specifikace</w:t>
      </w:r>
      <w:r w:rsidR="001311CF">
        <w:rPr>
          <w:b/>
          <w:lang w:eastAsia="cs-CZ"/>
        </w:rPr>
        <w:t xml:space="preserve"> </w:t>
      </w:r>
      <w:r w:rsidR="001311CF" w:rsidRPr="004C5B08">
        <w:rPr>
          <w:lang w:eastAsia="cs-CZ"/>
        </w:rPr>
        <w:t>(Příloha č. 2 ZD)</w:t>
      </w:r>
      <w:r w:rsidRPr="00AF3EDF">
        <w:rPr>
          <w:lang w:eastAsia="cs-CZ"/>
        </w:rPr>
        <w:t xml:space="preserve">. Nerespektování </w:t>
      </w:r>
      <w:r w:rsidR="001311CF">
        <w:rPr>
          <w:lang w:eastAsia="cs-CZ"/>
        </w:rPr>
        <w:t>těchto</w:t>
      </w:r>
      <w:r>
        <w:rPr>
          <w:lang w:eastAsia="cs-CZ"/>
        </w:rPr>
        <w:t xml:space="preserve"> </w:t>
      </w:r>
      <w:r w:rsidR="001311CF">
        <w:rPr>
          <w:lang w:eastAsia="cs-CZ"/>
        </w:rPr>
        <w:t xml:space="preserve">příloh </w:t>
      </w:r>
      <w:r w:rsidR="005B3DC2">
        <w:rPr>
          <w:lang w:eastAsia="cs-CZ"/>
        </w:rPr>
        <w:t>zadávací dokumentace</w:t>
      </w:r>
      <w:r w:rsidRPr="00AF3EDF">
        <w:rPr>
          <w:lang w:eastAsia="cs-CZ"/>
        </w:rPr>
        <w:t xml:space="preserve"> při výpočtu a stanovení nabídkové ceny může vést k</w:t>
      </w:r>
      <w:r>
        <w:rPr>
          <w:lang w:eastAsia="cs-CZ"/>
        </w:rPr>
        <w:t> </w:t>
      </w:r>
      <w:r w:rsidRPr="00AF3EDF">
        <w:rPr>
          <w:lang w:eastAsia="cs-CZ"/>
        </w:rPr>
        <w:t>v</w:t>
      </w:r>
      <w:r>
        <w:rPr>
          <w:lang w:eastAsia="cs-CZ"/>
        </w:rPr>
        <w:t>yloučení dodavatele ze zadávacího řízení</w:t>
      </w:r>
      <w:r w:rsidRPr="00AF3EDF">
        <w:rPr>
          <w:lang w:eastAsia="cs-CZ"/>
        </w:rPr>
        <w:t>.</w:t>
      </w:r>
    </w:p>
    <w:p w14:paraId="351A172C" w14:textId="77777777" w:rsidR="0021454B" w:rsidRPr="006130F2" w:rsidRDefault="0021454B" w:rsidP="005B3DC2">
      <w:pPr>
        <w:pStyle w:val="Bezmezer"/>
        <w:spacing w:after="120"/>
        <w:jc w:val="both"/>
        <w:rPr>
          <w:b/>
          <w:sz w:val="24"/>
          <w:lang w:eastAsia="cs-CZ"/>
        </w:rPr>
      </w:pPr>
      <w:r w:rsidRPr="006130F2">
        <w:rPr>
          <w:b/>
          <w:sz w:val="24"/>
          <w:lang w:eastAsia="cs-CZ"/>
        </w:rPr>
        <w:t>Mimořádně nízká nabídková cena</w:t>
      </w:r>
    </w:p>
    <w:p w14:paraId="4226644F" w14:textId="301C3684" w:rsidR="000927EC" w:rsidRDefault="00F52C8E" w:rsidP="005B3DC2">
      <w:pPr>
        <w:pStyle w:val="Bezmezer"/>
        <w:spacing w:after="120"/>
        <w:jc w:val="both"/>
        <w:rPr>
          <w:lang w:eastAsia="cs-CZ"/>
        </w:rPr>
      </w:pPr>
      <w:r>
        <w:rPr>
          <w:lang w:eastAsia="cs-CZ"/>
        </w:rPr>
        <w:t xml:space="preserve">Není-li v článku č. 6.3 ZD </w:t>
      </w:r>
      <w:r w:rsidR="001E298F">
        <w:rPr>
          <w:lang w:eastAsia="cs-CZ"/>
        </w:rPr>
        <w:t>stanoveno jinak, bude-li se jevit nabídková cena jako mimořádně nízká, zadavatel bude postupovat přiměřeně podle § 113 ZZVZ</w:t>
      </w:r>
      <w:r w:rsidR="0021454B">
        <w:rPr>
          <w:lang w:eastAsia="cs-CZ"/>
        </w:rPr>
        <w:t>.</w:t>
      </w:r>
    </w:p>
    <w:p w14:paraId="023DB993" w14:textId="0C6362B2" w:rsidR="001771FF" w:rsidRDefault="00805DBC" w:rsidP="0021454B">
      <w:pPr>
        <w:pStyle w:val="Bezmezer"/>
        <w:spacing w:after="240"/>
        <w:jc w:val="both"/>
        <w:rPr>
          <w:lang w:eastAsia="cs-CZ"/>
        </w:rPr>
      </w:pPr>
      <w:hyperlink w:anchor="_NABÍDKOVÁ_CENA_1" w:history="1">
        <w:r w:rsidR="00F52C8E">
          <w:rPr>
            <w:rStyle w:val="Hypertextovodkaz"/>
            <w:lang w:eastAsia="cs-CZ"/>
          </w:rPr>
          <w:t>Zpět</w:t>
        </w:r>
        <w:r w:rsidR="001771FF" w:rsidRPr="001771FF">
          <w:rPr>
            <w:rStyle w:val="Hypertextovodkaz"/>
            <w:lang w:eastAsia="cs-CZ"/>
          </w:rPr>
          <w:t xml:space="preserve"> na článek č. 6 ZD</w:t>
        </w:r>
      </w:hyperlink>
    </w:p>
    <w:p w14:paraId="12BB424E" w14:textId="1800428B" w:rsidR="0045331A" w:rsidRPr="00AE39CC" w:rsidRDefault="0045331A" w:rsidP="006130F2">
      <w:pPr>
        <w:pStyle w:val="Nadpis1"/>
      </w:pPr>
      <w:bookmarkStart w:id="123" w:name="_HODNOCENÍ"/>
      <w:bookmarkStart w:id="124" w:name="_Toc155796916"/>
      <w:bookmarkEnd w:id="123"/>
      <w:r w:rsidRPr="00AE39CC">
        <w:t>HODNOCENÍ</w:t>
      </w:r>
      <w:r w:rsidR="007C1DC4">
        <w:t xml:space="preserve"> A POSOUZENÍ NABÍDEK</w:t>
      </w:r>
      <w:bookmarkEnd w:id="124"/>
    </w:p>
    <w:p w14:paraId="493C2D14" w14:textId="7CC595B2" w:rsidR="00DE6378" w:rsidRDefault="0045331A" w:rsidP="0045331A">
      <w:r w:rsidRPr="001970A0">
        <w:t xml:space="preserve">Veřejná zakázka bude hodnocena v souladu s § 114 </w:t>
      </w:r>
      <w:r w:rsidR="00BC4AEE">
        <w:t>ZZVZ</w:t>
      </w:r>
      <w:r w:rsidRPr="001970A0">
        <w:t xml:space="preserve"> podle ekonomické výhodnosti</w:t>
      </w:r>
      <w:r w:rsidR="00DE6378">
        <w:t>.</w:t>
      </w:r>
    </w:p>
    <w:p w14:paraId="2089F4A9" w14:textId="23E3F88B" w:rsidR="008F432D" w:rsidRDefault="00DE6378" w:rsidP="0045331A">
      <w:pPr>
        <w:rPr>
          <w:strike/>
        </w:rPr>
      </w:pPr>
      <w:r>
        <w:t>V případě, že je jediným hodnoticím kritériem nabídková cena, n</w:t>
      </w:r>
      <w:r w:rsidR="0045331A" w:rsidRPr="001970A0">
        <w:t>abídky budou seřazeny podle výše celkové nabídkové ceny</w:t>
      </w:r>
      <w:r w:rsidR="008F432D">
        <w:t>.</w:t>
      </w:r>
    </w:p>
    <w:p w14:paraId="3989B785" w14:textId="24FF046F" w:rsidR="0045331A" w:rsidRDefault="008F432D" w:rsidP="0045331A">
      <w:r w:rsidRPr="008F432D">
        <w:t>V</w:t>
      </w:r>
      <w:r>
        <w:t> </w:t>
      </w:r>
      <w:r w:rsidRPr="008F432D">
        <w:t>případě</w:t>
      </w:r>
      <w:r>
        <w:t xml:space="preserve">, že zadavatel stanovil více dílčích hodnoticích kritérií, budou nabídky seřazeny podle počtu získaných bodů </w:t>
      </w:r>
      <w:r w:rsidRPr="00806878">
        <w:t>dle výpočtu hodnoticích kritérií, který je uveden v</w:t>
      </w:r>
      <w:r w:rsidR="00806878" w:rsidRPr="00806878">
        <w:t> </w:t>
      </w:r>
      <w:hyperlink w:anchor="_HODNOCENÍ_A_POSOUZENÍ" w:history="1">
        <w:r w:rsidR="00806878" w:rsidRPr="00806878">
          <w:rPr>
            <w:rStyle w:val="Hypertextovodkaz"/>
          </w:rPr>
          <w:t>článku č. 7 ZD</w:t>
        </w:r>
      </w:hyperlink>
      <w:r w:rsidRPr="00806878">
        <w:t>.</w:t>
      </w:r>
      <w:r w:rsidR="007F460E">
        <w:t xml:space="preserve"> </w:t>
      </w:r>
      <w:r w:rsidR="00806878">
        <w:t>V př</w:t>
      </w:r>
      <w:r w:rsidR="0045331A" w:rsidRPr="007F460E">
        <w:t>ípadě rovnosti bodů při součtu všech hodnotících kritérií, bude vybrán dodavatel, který nabídl nižší cenu</w:t>
      </w:r>
      <w:r w:rsidR="00A6315C">
        <w:t xml:space="preserve"> v Kč bez DPH</w:t>
      </w:r>
      <w:r w:rsidR="0045331A" w:rsidRPr="007F460E">
        <w:t>.</w:t>
      </w:r>
      <w:r w:rsidR="00A6315C">
        <w:t xml:space="preserve"> </w:t>
      </w:r>
    </w:p>
    <w:p w14:paraId="466B4F0F" w14:textId="1B20CD0B" w:rsidR="005543F4" w:rsidRPr="005543F4" w:rsidRDefault="005543F4" w:rsidP="0045331A">
      <w:pPr>
        <w:rPr>
          <w:strike/>
        </w:rPr>
      </w:pPr>
      <w:r>
        <w:t>Bude-li podána pouze jedna nabídka, hodnocení nebude provedeno</w:t>
      </w:r>
      <w:r w:rsidRPr="001970A0">
        <w:t xml:space="preserve">. </w:t>
      </w:r>
    </w:p>
    <w:p w14:paraId="35FE262B" w14:textId="017F4533" w:rsidR="0045331A" w:rsidRDefault="0045331A" w:rsidP="0045331A">
      <w:r w:rsidRPr="001970A0">
        <w:t>Zadavatel</w:t>
      </w:r>
      <w:r w:rsidR="00290CB1">
        <w:t xml:space="preserve"> </w:t>
      </w:r>
      <w:r w:rsidRPr="001970A0">
        <w:t>následně proved</w:t>
      </w:r>
      <w:r w:rsidR="00290CB1">
        <w:t>e</w:t>
      </w:r>
      <w:r w:rsidRPr="001970A0">
        <w:t xml:space="preserve"> posouzení </w:t>
      </w:r>
      <w:r w:rsidR="007F460E">
        <w:t>jediné/</w:t>
      </w:r>
      <w:r w:rsidRPr="001970A0">
        <w:t>nejvýhodnější nabídky</w:t>
      </w:r>
      <w:r w:rsidR="007F460E">
        <w:t>, tj.</w:t>
      </w:r>
      <w:r w:rsidRPr="001970A0">
        <w:t xml:space="preserve"> spl</w:t>
      </w:r>
      <w:r>
        <w:t>nění</w:t>
      </w:r>
      <w:r w:rsidRPr="001970A0">
        <w:t xml:space="preserve"> vešker</w:t>
      </w:r>
      <w:r>
        <w:t>ých</w:t>
      </w:r>
      <w:r w:rsidRPr="001970A0">
        <w:t xml:space="preserve"> požadavk</w:t>
      </w:r>
      <w:r>
        <w:t>ů</w:t>
      </w:r>
      <w:r w:rsidRPr="001970A0">
        <w:t xml:space="preserve"> stanoven</w:t>
      </w:r>
      <w:r>
        <w:t>ých</w:t>
      </w:r>
      <w:r w:rsidR="00BC4AEE">
        <w:t xml:space="preserve"> touto zadávací dokumentací a ZZVZ</w:t>
      </w:r>
      <w:r>
        <w:t>.</w:t>
      </w:r>
    </w:p>
    <w:p w14:paraId="2A15C93D" w14:textId="7486FE26" w:rsidR="0045331A" w:rsidRDefault="0045331A" w:rsidP="0045331A">
      <w:r w:rsidRPr="001970A0">
        <w:t>Zadavatel vyzve k součinnosti a následně k uzavření smlouvy vybraného dodavatele, jehož nabídka byla vyhodnocena jako nejvýhodnější a současně splnila požadavky stanoven</w:t>
      </w:r>
      <w:r w:rsidR="00BC4AEE">
        <w:t>é touto zadávací dokumentací a ZZVZ</w:t>
      </w:r>
      <w:r w:rsidRPr="001970A0">
        <w:t>.</w:t>
      </w:r>
    </w:p>
    <w:p w14:paraId="2DBD739D" w14:textId="17F93A79" w:rsidR="001771FF" w:rsidRPr="00A7166C" w:rsidRDefault="00805DBC" w:rsidP="0045331A">
      <w:hyperlink w:anchor="_HODNOCENÍ_1" w:history="1">
        <w:r w:rsidR="00105D25">
          <w:rPr>
            <w:rStyle w:val="Hypertextovodkaz"/>
          </w:rPr>
          <w:t>Odkaz</w:t>
        </w:r>
        <w:r w:rsidR="001771FF" w:rsidRPr="001771FF">
          <w:rPr>
            <w:rStyle w:val="Hypertextovodkaz"/>
          </w:rPr>
          <w:t xml:space="preserve"> na článek č. 7 ZD</w:t>
        </w:r>
      </w:hyperlink>
    </w:p>
    <w:p w14:paraId="20D5F870" w14:textId="77777777" w:rsidR="0045331A" w:rsidRPr="00AE39CC" w:rsidRDefault="0045331A" w:rsidP="006130F2">
      <w:pPr>
        <w:pStyle w:val="Nadpis1"/>
      </w:pPr>
      <w:bookmarkStart w:id="125" w:name="_NABÍDKA"/>
      <w:bookmarkStart w:id="126" w:name="_Toc155796917"/>
      <w:bookmarkEnd w:id="125"/>
      <w:r w:rsidRPr="00AE39CC">
        <w:t>NABÍDKA</w:t>
      </w:r>
      <w:bookmarkEnd w:id="126"/>
    </w:p>
    <w:p w14:paraId="4BA89AE8" w14:textId="3E5CEF50" w:rsidR="0045331A" w:rsidRPr="006130F2" w:rsidRDefault="0045331A" w:rsidP="008143FC">
      <w:pPr>
        <w:spacing w:before="120"/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 xml:space="preserve">Lhůta </w:t>
      </w:r>
      <w:r w:rsidR="000243DD" w:rsidRPr="006130F2">
        <w:rPr>
          <w:b/>
          <w:sz w:val="24"/>
          <w:szCs w:val="24"/>
        </w:rPr>
        <w:t>pro</w:t>
      </w:r>
      <w:r w:rsidR="00261416" w:rsidRPr="006130F2">
        <w:rPr>
          <w:b/>
          <w:sz w:val="24"/>
          <w:szCs w:val="24"/>
        </w:rPr>
        <w:t xml:space="preserve"> </w:t>
      </w:r>
      <w:r w:rsidRPr="006130F2">
        <w:rPr>
          <w:b/>
          <w:sz w:val="24"/>
          <w:szCs w:val="24"/>
        </w:rPr>
        <w:t>podání nabídek</w:t>
      </w:r>
    </w:p>
    <w:p w14:paraId="1E4B954B" w14:textId="19FCB7BA" w:rsidR="0045331A" w:rsidRDefault="0045331A" w:rsidP="0045331A">
      <w:r>
        <w:t xml:space="preserve">Lhůta </w:t>
      </w:r>
      <w:r w:rsidR="000243DD">
        <w:t>pro</w:t>
      </w:r>
      <w:r w:rsidR="00261416">
        <w:t xml:space="preserve"> </w:t>
      </w:r>
      <w:r>
        <w:t>podání nabíd</w:t>
      </w:r>
      <w:r w:rsidR="000243DD">
        <w:t>ek</w:t>
      </w:r>
      <w:r>
        <w:t xml:space="preserve"> </w:t>
      </w:r>
      <w:r w:rsidRPr="00C268F6">
        <w:rPr>
          <w:b/>
          <w:u w:val="single"/>
        </w:rPr>
        <w:t>je uvedena na úvodní straně zadávací dokumentace</w:t>
      </w:r>
      <w:r w:rsidR="00F32240">
        <w:t xml:space="preserve">. </w:t>
      </w:r>
      <w:hyperlink w:anchor="_top" w:history="1">
        <w:r w:rsidR="00F32240" w:rsidRPr="00F32240">
          <w:rPr>
            <w:rStyle w:val="Hypertextovodkaz"/>
            <w:sz w:val="18"/>
          </w:rPr>
          <w:t>ODKAZ</w:t>
        </w:r>
      </w:hyperlink>
    </w:p>
    <w:p w14:paraId="54AB1E02" w14:textId="049A37B6" w:rsidR="0045331A" w:rsidRDefault="0045331A" w:rsidP="0045331A">
      <w:r>
        <w:t xml:space="preserve">Případná změna lhůty </w:t>
      </w:r>
      <w:r w:rsidR="000243DD">
        <w:t>pro</w:t>
      </w:r>
      <w:r w:rsidR="00261416">
        <w:t xml:space="preserve"> </w:t>
      </w:r>
      <w:r>
        <w:t xml:space="preserve">podání nabídek bude uveřejněna v detailu VZ v E-ZAK uvedeném </w:t>
      </w:r>
      <w:r w:rsidRPr="00CF4173">
        <w:t>na úvodní straně zadávací dokumentace</w:t>
      </w:r>
      <w:r>
        <w:t>.</w:t>
      </w:r>
    </w:p>
    <w:p w14:paraId="43AB22AB" w14:textId="77777777" w:rsidR="0045331A" w:rsidRDefault="0045331A" w:rsidP="0045331A">
      <w:r>
        <w:t xml:space="preserve">Dodavatel je povinen sledovat případné změny na uvedeném odkazu </w:t>
      </w:r>
      <w:r w:rsidRPr="00CF4173">
        <w:t>na úvodní straně</w:t>
      </w:r>
      <w:r>
        <w:t xml:space="preserve"> </w:t>
      </w:r>
      <w:r w:rsidRPr="00CF4173">
        <w:t>zadávací dokumentace</w:t>
      </w:r>
      <w:r>
        <w:t>.</w:t>
      </w:r>
    </w:p>
    <w:p w14:paraId="512E4727" w14:textId="06FC4E38" w:rsidR="0082449F" w:rsidRPr="006130F2" w:rsidRDefault="0082449F" w:rsidP="0045331A">
      <w:pPr>
        <w:rPr>
          <w:b/>
          <w:sz w:val="24"/>
        </w:rPr>
      </w:pPr>
      <w:r w:rsidRPr="006130F2">
        <w:rPr>
          <w:b/>
          <w:sz w:val="24"/>
        </w:rPr>
        <w:t>Obsah nabídky</w:t>
      </w:r>
    </w:p>
    <w:p w14:paraId="164F9B0F" w14:textId="0629E8B8" w:rsidR="0082449F" w:rsidRDefault="0082449F" w:rsidP="0045331A">
      <w:r w:rsidRPr="00B54F6A">
        <w:rPr>
          <w:lang w:eastAsia="cs-CZ"/>
        </w:rPr>
        <w:t xml:space="preserve">Dodavatel předloží v nabídce </w:t>
      </w:r>
      <w:r>
        <w:rPr>
          <w:lang w:eastAsia="cs-CZ"/>
        </w:rPr>
        <w:t xml:space="preserve">zejména </w:t>
      </w:r>
      <w:r w:rsidRPr="00B54F6A">
        <w:rPr>
          <w:lang w:eastAsia="cs-CZ"/>
        </w:rPr>
        <w:t>vyplněný Krycí list</w:t>
      </w:r>
      <w:r>
        <w:rPr>
          <w:lang w:eastAsia="cs-CZ"/>
        </w:rPr>
        <w:t xml:space="preserve"> (Příloha č. 1 ZD), Technickou specifikaci (Příloha č. 2 ZD) a Čestné prohlášení (Příloha č. 4 ZD), ve kterých doplní zadavatelem požadované údaje</w:t>
      </w:r>
      <w:r w:rsidRPr="00042CBF">
        <w:rPr>
          <w:lang w:eastAsia="cs-CZ"/>
        </w:rPr>
        <w:t>.</w:t>
      </w:r>
      <w:r>
        <w:rPr>
          <w:lang w:eastAsia="cs-CZ"/>
        </w:rPr>
        <w:t xml:space="preserve"> Další požadovaný obsah nabídky je uveden </w:t>
      </w:r>
      <w:r w:rsidR="00F52C8E">
        <w:rPr>
          <w:lang w:eastAsia="cs-CZ"/>
        </w:rPr>
        <w:t>v článku č. 8 ZD</w:t>
      </w:r>
      <w:r>
        <w:rPr>
          <w:lang w:eastAsia="cs-CZ"/>
        </w:rPr>
        <w:t>.</w:t>
      </w:r>
    </w:p>
    <w:p w14:paraId="175DE233" w14:textId="457221DF" w:rsidR="0045331A" w:rsidRPr="006130F2" w:rsidRDefault="0082449F" w:rsidP="00AE39CC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Forma</w:t>
      </w:r>
      <w:r w:rsidR="0045331A" w:rsidRPr="006130F2">
        <w:rPr>
          <w:b/>
          <w:sz w:val="24"/>
          <w:szCs w:val="24"/>
        </w:rPr>
        <w:t xml:space="preserve"> nabídky</w:t>
      </w:r>
    </w:p>
    <w:p w14:paraId="4115AA3C" w14:textId="77777777" w:rsidR="005543F4" w:rsidRDefault="005543F4" w:rsidP="005543F4">
      <w:pPr>
        <w:pStyle w:val="Odstavecseseznamem"/>
        <w:numPr>
          <w:ilvl w:val="0"/>
          <w:numId w:val="6"/>
        </w:numPr>
        <w:ind w:left="284" w:hanging="284"/>
      </w:pPr>
      <w:r w:rsidRPr="00EF4062">
        <w:rPr>
          <w:b/>
          <w:u w:val="single"/>
        </w:rPr>
        <w:t>Nabídka musí být</w:t>
      </w:r>
      <w:r>
        <w:rPr>
          <w:b/>
        </w:rPr>
        <w:t xml:space="preserve"> </w:t>
      </w:r>
      <w:r w:rsidRPr="00EF4062">
        <w:rPr>
          <w:b/>
          <w:u w:val="single"/>
        </w:rPr>
        <w:t>podána v elektronické podobě</w:t>
      </w:r>
      <w:r>
        <w:rPr>
          <w:b/>
          <w:u w:val="single"/>
        </w:rPr>
        <w:t>,</w:t>
      </w:r>
      <w:r w:rsidRPr="00EF4062">
        <w:rPr>
          <w:b/>
        </w:rPr>
        <w:t xml:space="preserve"> a to </w:t>
      </w:r>
      <w:r w:rsidRPr="00EF4062">
        <w:rPr>
          <w:b/>
          <w:u w:val="single"/>
        </w:rPr>
        <w:t>výhradně prostřednictvím elektronického nástroje</w:t>
      </w:r>
      <w:r w:rsidRPr="009E284A">
        <w:rPr>
          <w:b/>
          <w:u w:val="single"/>
        </w:rPr>
        <w:t xml:space="preserve"> E-ZAK</w:t>
      </w:r>
      <w:r>
        <w:t xml:space="preserve">. </w:t>
      </w:r>
    </w:p>
    <w:p w14:paraId="07BB7D79" w14:textId="77777777" w:rsidR="0045331A" w:rsidRDefault="0045331A" w:rsidP="004B0A06">
      <w:pPr>
        <w:pStyle w:val="Odstavecseseznamem"/>
        <w:numPr>
          <w:ilvl w:val="0"/>
          <w:numId w:val="6"/>
        </w:numPr>
        <w:ind w:left="284" w:hanging="284"/>
      </w:pPr>
      <w:r w:rsidRPr="00F77760">
        <w:t>Zadavatel žádá dodavatele, aby v zájmu zefektivnění a urychlení administrace zadávacího řízení zasílali nabídky ve strojově čitelném formátu (nikoliv naskenované).</w:t>
      </w:r>
    </w:p>
    <w:p w14:paraId="3EC92E40" w14:textId="1B394FAA" w:rsidR="0045331A" w:rsidRPr="00735FED" w:rsidRDefault="0045331A" w:rsidP="00285D79">
      <w:pPr>
        <w:pStyle w:val="Odstavecseseznamem"/>
        <w:numPr>
          <w:ilvl w:val="0"/>
          <w:numId w:val="6"/>
        </w:numPr>
        <w:ind w:left="284" w:hanging="284"/>
      </w:pPr>
      <w:r w:rsidRPr="00735FED">
        <w:t>Nabídka bude předložena</w:t>
      </w:r>
      <w:r>
        <w:t xml:space="preserve"> </w:t>
      </w:r>
      <w:r w:rsidRPr="00735FED">
        <w:t>v</w:t>
      </w:r>
      <w:r>
        <w:t> </w:t>
      </w:r>
      <w:r w:rsidRPr="00735FED">
        <w:t>českém</w:t>
      </w:r>
      <w:r>
        <w:t xml:space="preserve"> nebo slovenském</w:t>
      </w:r>
      <w:r w:rsidRPr="00735FED">
        <w:t xml:space="preserve"> jazyce</w:t>
      </w:r>
      <w:r w:rsidRPr="00167297">
        <w:t>. Není-li některý předložený doklad v</w:t>
      </w:r>
      <w:r>
        <w:t> </w:t>
      </w:r>
      <w:r w:rsidRPr="00167297">
        <w:t>českém</w:t>
      </w:r>
      <w:r>
        <w:t xml:space="preserve"> nebo slovenském</w:t>
      </w:r>
      <w:r w:rsidRPr="00167297">
        <w:t xml:space="preserve"> jazyce,</w:t>
      </w:r>
      <w:r>
        <w:t xml:space="preserve"> je zadavatel oprávněn požadovat </w:t>
      </w:r>
      <w:r w:rsidRPr="00167297">
        <w:t>jeho prostý překlad do českého jazyka</w:t>
      </w:r>
      <w:r w:rsidR="00706B37">
        <w:t>.</w:t>
      </w:r>
    </w:p>
    <w:p w14:paraId="29FB7FF9" w14:textId="2CBE7CF4" w:rsidR="0045331A" w:rsidRDefault="0045331A" w:rsidP="00F34CA7">
      <w:pPr>
        <w:pStyle w:val="Odstavecseseznamem"/>
        <w:numPr>
          <w:ilvl w:val="0"/>
          <w:numId w:val="6"/>
        </w:numPr>
        <w:ind w:left="284" w:hanging="284"/>
      </w:pPr>
      <w:r>
        <w:t>Elektronická nabídka dodavatele nemusí být podepsaná</w:t>
      </w:r>
      <w:r w:rsidRPr="00C268F6">
        <w:t xml:space="preserve">. </w:t>
      </w:r>
    </w:p>
    <w:p w14:paraId="3BA57560" w14:textId="5013E624" w:rsidR="004214BA" w:rsidRDefault="004214BA" w:rsidP="007877D7">
      <w:r w:rsidRPr="004214BA">
        <w:t>Zadavatel si vyhrazuje právo před rozhodnutím o výběru nejvhodnější nabídky ověřit, případně vyjasnit, informace deklarované dodavatelem v nabídce.</w:t>
      </w:r>
    </w:p>
    <w:p w14:paraId="00B1E243" w14:textId="4B55FDB6" w:rsidR="00706B37" w:rsidRDefault="00706B37" w:rsidP="007B4C59">
      <w:r>
        <w:rPr>
          <w:lang w:eastAsia="cs-CZ"/>
        </w:rPr>
        <w:t>Pokud je veřejná zakázka dělena na více částí a</w:t>
      </w:r>
      <w:r w:rsidRPr="003E2084">
        <w:rPr>
          <w:lang w:eastAsia="cs-CZ"/>
        </w:rPr>
        <w:t xml:space="preserve"> dodavatel </w:t>
      </w:r>
      <w:r>
        <w:rPr>
          <w:lang w:eastAsia="cs-CZ"/>
        </w:rPr>
        <w:t xml:space="preserve">podává </w:t>
      </w:r>
      <w:r w:rsidRPr="003E2084">
        <w:rPr>
          <w:lang w:eastAsia="cs-CZ"/>
        </w:rPr>
        <w:t xml:space="preserve">nabídku na jednu </w:t>
      </w:r>
      <w:r>
        <w:rPr>
          <w:lang w:eastAsia="cs-CZ"/>
        </w:rPr>
        <w:t xml:space="preserve">nebo více částí, </w:t>
      </w:r>
      <w:r w:rsidRPr="003E2084">
        <w:rPr>
          <w:b/>
          <w:lang w:eastAsia="cs-CZ"/>
        </w:rPr>
        <w:t>musí nabídku podat</w:t>
      </w:r>
      <w:r w:rsidRPr="003E2084">
        <w:rPr>
          <w:lang w:eastAsia="cs-CZ"/>
        </w:rPr>
        <w:t xml:space="preserve"> prostřednictvím </w:t>
      </w:r>
      <w:r w:rsidRPr="003E2084">
        <w:rPr>
          <w:b/>
          <w:lang w:eastAsia="cs-CZ"/>
        </w:rPr>
        <w:t>detailu konkrétní části VZ</w:t>
      </w:r>
      <w:r>
        <w:rPr>
          <w:lang w:eastAsia="cs-CZ"/>
        </w:rPr>
        <w:t xml:space="preserve"> uvedeného v </w:t>
      </w:r>
      <w:hyperlink w:anchor="_VEŘEJNÁ_ZAKÁZKA_1" w:history="1">
        <w:r w:rsidRPr="003E2084">
          <w:rPr>
            <w:rStyle w:val="Hypertextovodkaz"/>
            <w:lang w:eastAsia="cs-CZ"/>
          </w:rPr>
          <w:t>článku č. 2 ZD</w:t>
        </w:r>
      </w:hyperlink>
      <w:r w:rsidRPr="003E2084">
        <w:rPr>
          <w:lang w:eastAsia="cs-CZ"/>
        </w:rPr>
        <w:t xml:space="preserve">. </w:t>
      </w:r>
      <w:r w:rsidRPr="003E2084">
        <w:rPr>
          <w:i/>
          <w:lang w:eastAsia="cs-CZ"/>
        </w:rPr>
        <w:t>Příklad: Nabídka na Část 1 se podává v detailu Části 1 VZ, nabídka na Část 2 se podává v detailu Části 2 VZ.</w:t>
      </w:r>
      <w:r w:rsidRPr="003E2084">
        <w:rPr>
          <w:lang w:eastAsia="cs-CZ"/>
        </w:rPr>
        <w:t xml:space="preserve"> Je přípustné vytvořit jeden soubor s nabídkou, který bude obsahovat více částí VZ, nicméně musí být podán ve všech příslušných detailech VZ.</w:t>
      </w:r>
    </w:p>
    <w:p w14:paraId="720689B5" w14:textId="235052F2" w:rsidR="006D5C09" w:rsidRPr="007B4C59" w:rsidRDefault="00805DBC" w:rsidP="007B4C59">
      <w:pPr>
        <w:rPr>
          <w:highlight w:val="green"/>
        </w:rPr>
      </w:pPr>
      <w:hyperlink w:anchor="_NABÍDKA_1" w:history="1">
        <w:r w:rsidR="00F52C8E">
          <w:rPr>
            <w:rStyle w:val="Hypertextovodkaz"/>
          </w:rPr>
          <w:t>Zpět</w:t>
        </w:r>
        <w:r w:rsidR="006D5C09" w:rsidRPr="006D5C09">
          <w:rPr>
            <w:rStyle w:val="Hypertextovodkaz"/>
          </w:rPr>
          <w:t xml:space="preserve"> na článek č. 8 ZD</w:t>
        </w:r>
      </w:hyperlink>
    </w:p>
    <w:p w14:paraId="229237C5" w14:textId="77777777" w:rsidR="0045331A" w:rsidRPr="00AE39CC" w:rsidRDefault="0045331A" w:rsidP="006130F2">
      <w:pPr>
        <w:pStyle w:val="Nadpis1"/>
      </w:pPr>
      <w:bookmarkStart w:id="127" w:name="_ZADÁVACÍ_ŘÍZENÍ"/>
      <w:bookmarkStart w:id="128" w:name="_Toc155796918"/>
      <w:bookmarkEnd w:id="127"/>
      <w:r w:rsidRPr="00AE39CC">
        <w:t>ZADÁVACÍ ŘÍZENÍ</w:t>
      </w:r>
      <w:bookmarkEnd w:id="128"/>
    </w:p>
    <w:p w14:paraId="5E725502" w14:textId="77777777" w:rsidR="0045331A" w:rsidRPr="006130F2" w:rsidRDefault="0045331A" w:rsidP="004A66F1">
      <w:pPr>
        <w:spacing w:before="120"/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Vysvětlení zadávací dokumentace</w:t>
      </w:r>
    </w:p>
    <w:p w14:paraId="633422C3" w14:textId="6AF87E3D" w:rsidR="0045331A" w:rsidRDefault="0045331A" w:rsidP="004A66F1">
      <w:pPr>
        <w:spacing w:before="120"/>
      </w:pPr>
      <w:r w:rsidRPr="00332AD7">
        <w:t xml:space="preserve">Dodavatel může podat písemnou žádost o vysvětlení zadávací dokumentace, kterou musí doručit nejméně 7 pracovních dnů před uplynutím lhůty </w:t>
      </w:r>
      <w:r w:rsidR="000243DD">
        <w:t>pro</w:t>
      </w:r>
      <w:r w:rsidR="00BA4DDA" w:rsidRPr="00332AD7">
        <w:t xml:space="preserve"> </w:t>
      </w:r>
      <w:r w:rsidRPr="00332AD7">
        <w:t>podání</w:t>
      </w:r>
      <w:r>
        <w:t xml:space="preserve"> nabídek. Zadavatel do 3 pracovních dnů uveřejní odpověď v detailu VZ v E-ZAK v položce Vysvětlení zadávací dokumentace. Vysvětlení bude obsahovat dotaz bez identifikace dodavatele a odpověď. Zadavatel může uveřejnit vysvětlení i bez předchozí žádosti nebo odpovědět na pozdě doručený dotaz. </w:t>
      </w:r>
    </w:p>
    <w:p w14:paraId="62268867" w14:textId="2CEA02C7" w:rsidR="0045331A" w:rsidRDefault="0045331A" w:rsidP="0045331A">
      <w:r>
        <w:t xml:space="preserve">Pokud budou změněny zadávací podmínky, zadavatel přiměřeně prodlouží lhůtu pro podání nabídek. Vysvětlení musí být uveřejněno nejméně 4 pracovní dny před uplynutím lhůty </w:t>
      </w:r>
      <w:r w:rsidR="000243DD">
        <w:t>pro</w:t>
      </w:r>
      <w:r w:rsidR="00BA4DDA">
        <w:t xml:space="preserve"> </w:t>
      </w:r>
      <w:r w:rsidR="005A6781">
        <w:t>podání nabídek.</w:t>
      </w:r>
    </w:p>
    <w:p w14:paraId="468A400D" w14:textId="69D94FFD" w:rsidR="0082449F" w:rsidRDefault="0082449F" w:rsidP="0045331A">
      <w:r>
        <w:t>Je-li v článku č. 9 ZD vyhrazeno, že námitky proti zadávacím podmínkám mohou být podány nejpozději 72 hodin před koncem lhůty pro podání nabídek, pak zadavatel v případě uveřejnění vysvětlení zadávací dokumentace zajistí, aby vysvětlení zadávací dokumentace bylo uveřejněno minimálně 4 pracovní dny před uplynutím lhůty pro podání námitek (nikoli nabídek).</w:t>
      </w:r>
    </w:p>
    <w:p w14:paraId="7B4BB107" w14:textId="77777777" w:rsidR="0045331A" w:rsidRPr="006130F2" w:rsidRDefault="0045331A" w:rsidP="00AE39CC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Otevírání, kontrola a hodnocení nabídek</w:t>
      </w:r>
    </w:p>
    <w:p w14:paraId="21D3630A" w14:textId="639F1D69" w:rsidR="0045331A" w:rsidRPr="00795769" w:rsidRDefault="0045331A" w:rsidP="00BA4DDA">
      <w:pPr>
        <w:tabs>
          <w:tab w:val="left" w:pos="7530"/>
        </w:tabs>
        <w:rPr>
          <w:strike/>
        </w:rPr>
      </w:pPr>
      <w:r w:rsidRPr="00BA4DDA">
        <w:t>Jednání, při kterých se otevírají, kontrolují a hodnotí nabídky, je neveřejné.</w:t>
      </w:r>
    </w:p>
    <w:p w14:paraId="458B3619" w14:textId="77777777" w:rsidR="0045331A" w:rsidRPr="006130F2" w:rsidRDefault="0045331A" w:rsidP="00AE39CC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Rozhodnutí o výběru dodavatele</w:t>
      </w:r>
    </w:p>
    <w:p w14:paraId="08A73128" w14:textId="339DC3EB" w:rsidR="0045331A" w:rsidRPr="004B0A06" w:rsidRDefault="0045331A" w:rsidP="0045331A">
      <w:pPr>
        <w:rPr>
          <w:strike/>
        </w:rPr>
      </w:pPr>
      <w:r>
        <w:t xml:space="preserve">Zadavatel rozhodne o výběru dodavatele, jehož nabídka byla vyhodnocena jako nejvýhodnější. </w:t>
      </w:r>
    </w:p>
    <w:p w14:paraId="1115775E" w14:textId="645B8452" w:rsidR="0045331A" w:rsidRDefault="0045331A" w:rsidP="0045331A">
      <w:r>
        <w:t>Z</w:t>
      </w:r>
      <w:r w:rsidRPr="00FB783F">
        <w:t xml:space="preserve">adavatel </w:t>
      </w:r>
      <w:r>
        <w:t xml:space="preserve">si </w:t>
      </w:r>
      <w:r w:rsidRPr="00FB783F">
        <w:t>vyhrazuje, že rozhodnutí</w:t>
      </w:r>
      <w:r>
        <w:t xml:space="preserve"> o výběru uveřejní </w:t>
      </w:r>
      <w:r w:rsidRPr="0096129F">
        <w:t>v detailu VZ v E-ZAK</w:t>
      </w:r>
      <w:r w:rsidRPr="00BA4DDA">
        <w:t>.</w:t>
      </w:r>
      <w:r w:rsidRPr="00FB783F">
        <w:t xml:space="preserve"> Okamžikem</w:t>
      </w:r>
      <w:r>
        <w:t xml:space="preserve"> </w:t>
      </w:r>
      <w:r w:rsidRPr="00FB783F">
        <w:t xml:space="preserve">uveřejnění </w:t>
      </w:r>
      <w:r w:rsidR="00BA4DDA">
        <w:t xml:space="preserve">v detailu VZ </w:t>
      </w:r>
      <w:r w:rsidRPr="00FB783F">
        <w:t>se rozhodnutí považ</w:t>
      </w:r>
      <w:r w:rsidR="00653848">
        <w:t xml:space="preserve">uje za doručené všem účastníkům, </w:t>
      </w:r>
      <w:r w:rsidR="00653848" w:rsidRPr="00653749">
        <w:t>v případě VZ dělené na části bude uveřejněno v detailu příslušné části VZ v E-ZAK.</w:t>
      </w:r>
    </w:p>
    <w:p w14:paraId="7F910E96" w14:textId="77777777" w:rsidR="0045331A" w:rsidRPr="006130F2" w:rsidRDefault="0045331A" w:rsidP="00AE39CC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Rozhodnutí o vyloučení dodavatele</w:t>
      </w:r>
    </w:p>
    <w:p w14:paraId="6D105208" w14:textId="4351ADE8" w:rsidR="0045331A" w:rsidRPr="00FB783F" w:rsidRDefault="0045331A" w:rsidP="0045331A">
      <w:r w:rsidRPr="00F102CA">
        <w:t>Pokud dojde k vyloučení dodavatele, zadavatel si vyhrazuje</w:t>
      </w:r>
      <w:r w:rsidR="00F102CA">
        <w:t xml:space="preserve"> možnost</w:t>
      </w:r>
      <w:r w:rsidRPr="00F102CA">
        <w:t xml:space="preserve"> rozhodnutí o vyloučení </w:t>
      </w:r>
      <w:r w:rsidR="00F102CA">
        <w:t>pouze uveřejnit</w:t>
      </w:r>
      <w:r w:rsidRPr="00F102CA">
        <w:t xml:space="preserve"> v detailu VZ v E-ZAK. Okamžikem uveřejnění </w:t>
      </w:r>
      <w:r w:rsidR="0096129F" w:rsidRPr="00F102CA">
        <w:t xml:space="preserve">v detailu VZ </w:t>
      </w:r>
      <w:r w:rsidRPr="00F102CA">
        <w:t>se rozhodnutí považuje za doručené vyloučenému dodavateli.</w:t>
      </w:r>
    </w:p>
    <w:p w14:paraId="2627DDA4" w14:textId="77777777" w:rsidR="0045331A" w:rsidRPr="006130F2" w:rsidRDefault="0045331A" w:rsidP="00AE39CC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 xml:space="preserve">Rozhodnutí o zrušení </w:t>
      </w:r>
    </w:p>
    <w:p w14:paraId="497919A6" w14:textId="4A7579C8" w:rsidR="0045331A" w:rsidRDefault="0045331A" w:rsidP="0045331A">
      <w:r>
        <w:t xml:space="preserve">Zadavatel je oprávněn zrušit zadávací řízení pouze na základě důvodů uvedených v § 127 ZZVZ. </w:t>
      </w:r>
      <w:r w:rsidR="00BB3E47">
        <w:t>Oznámení</w:t>
      </w:r>
      <w:r w:rsidRPr="00FB783F">
        <w:t xml:space="preserve"> o zrušení </w:t>
      </w:r>
      <w:r w:rsidR="0096129F">
        <w:t xml:space="preserve">zjednodušeného podlimitního řízení </w:t>
      </w:r>
      <w:r w:rsidRPr="00FB783F">
        <w:t xml:space="preserve">bude do 5 pracovních dnů </w:t>
      </w:r>
      <w:r w:rsidR="00991E33">
        <w:t xml:space="preserve">od rozhodnutí </w:t>
      </w:r>
      <w:r w:rsidRPr="00FB783F">
        <w:t xml:space="preserve">uveřejněno </w:t>
      </w:r>
      <w:r w:rsidRPr="00991E33">
        <w:t>v detailu VZ v E-ZAK</w:t>
      </w:r>
      <w:r w:rsidRPr="0096129F">
        <w:t>.</w:t>
      </w:r>
    </w:p>
    <w:p w14:paraId="45D9E1E0" w14:textId="77777777" w:rsidR="0045331A" w:rsidRPr="006130F2" w:rsidRDefault="0045331A" w:rsidP="00AE39CC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Součinnost a uzavření smlouvy</w:t>
      </w:r>
    </w:p>
    <w:p w14:paraId="490A8AD3" w14:textId="4DFFAAB8" w:rsidR="0045331A" w:rsidRPr="007B1EEE" w:rsidRDefault="0045331A" w:rsidP="00991E33">
      <w:pPr>
        <w:rPr>
          <w:strike/>
        </w:rPr>
      </w:pPr>
      <w:r w:rsidRPr="00991E33">
        <w:t>Vybraný dodavatel bude po rozhodnutí o výběru vyzván k poskytnutí součinnosti a uzavření smlouvy. Dodavatel může být vyzván k </w:t>
      </w:r>
      <w:r w:rsidRPr="007E2CB4">
        <w:t xml:space="preserve">předložení </w:t>
      </w:r>
      <w:r w:rsidR="0043736D" w:rsidRPr="007E2CB4">
        <w:t xml:space="preserve">elektronických </w:t>
      </w:r>
      <w:r w:rsidRPr="007E2CB4">
        <w:t xml:space="preserve">prostých kopií, elektronických originálů nebo </w:t>
      </w:r>
      <w:r w:rsidR="00686925" w:rsidRPr="007E2CB4">
        <w:rPr>
          <w:lang w:eastAsia="cs-CZ"/>
        </w:rPr>
        <w:t>autorizovaných konverzí listinných originálních dokumentů</w:t>
      </w:r>
      <w:r w:rsidRPr="007E2CB4">
        <w:t xml:space="preserve"> o kvalifikaci, dále jiných dokladů nebo vzorků, jestliže tak stanovila ZD nebo ZZVZ.</w:t>
      </w:r>
    </w:p>
    <w:p w14:paraId="2E33A36F" w14:textId="2ACF2FFC" w:rsidR="0045331A" w:rsidRPr="006130F2" w:rsidRDefault="0045331A" w:rsidP="00AE39CC">
      <w:pPr>
        <w:rPr>
          <w:b/>
          <w:sz w:val="24"/>
          <w:szCs w:val="24"/>
        </w:rPr>
      </w:pPr>
      <w:r w:rsidRPr="006130F2">
        <w:rPr>
          <w:b/>
          <w:sz w:val="24"/>
          <w:szCs w:val="24"/>
        </w:rPr>
        <w:t>Uveřej</w:t>
      </w:r>
      <w:r w:rsidR="00991E33" w:rsidRPr="006130F2">
        <w:rPr>
          <w:b/>
          <w:sz w:val="24"/>
          <w:szCs w:val="24"/>
        </w:rPr>
        <w:t>ňová</w:t>
      </w:r>
      <w:r w:rsidRPr="006130F2">
        <w:rPr>
          <w:b/>
          <w:sz w:val="24"/>
          <w:szCs w:val="24"/>
        </w:rPr>
        <w:t>ní</w:t>
      </w:r>
    </w:p>
    <w:p w14:paraId="0E11A90D" w14:textId="74BF512B" w:rsidR="0045331A" w:rsidRDefault="0045331A" w:rsidP="0045331A">
      <w:r>
        <w:t>Na profilu zadavatele v</w:t>
      </w:r>
      <w:r w:rsidRPr="006C79E6">
        <w:t xml:space="preserve"> detailu </w:t>
      </w:r>
      <w:r>
        <w:t>VZ v E-ZAK</w:t>
      </w:r>
      <w:r w:rsidR="0054672E">
        <w:t>, případně v detailech jednotlivých částí VZ v E-ZAK,</w:t>
      </w:r>
      <w:r>
        <w:t xml:space="preserve"> </w:t>
      </w:r>
      <w:r w:rsidR="0054672E">
        <w:t xml:space="preserve">budou uveřejněny </w:t>
      </w:r>
      <w:r w:rsidRPr="006C79E6">
        <w:t>informace o</w:t>
      </w:r>
      <w:r>
        <w:t> </w:t>
      </w:r>
      <w:r w:rsidRPr="006C79E6">
        <w:t xml:space="preserve">veřejné zakázce a zásadní dokumenty jako </w:t>
      </w:r>
      <w:r w:rsidR="0054672E">
        <w:t>např. z</w:t>
      </w:r>
      <w:r>
        <w:t>adávací dokumentace</w:t>
      </w:r>
      <w:r w:rsidRPr="006C79E6">
        <w:t xml:space="preserve"> s přílohami, </w:t>
      </w:r>
      <w:r w:rsidR="0043736D">
        <w:t>v</w:t>
      </w:r>
      <w:r w:rsidRPr="006C79E6">
        <w:t xml:space="preserve">ysvětlení zadávací dokumentace, </w:t>
      </w:r>
      <w:r w:rsidR="0043736D">
        <w:t>r</w:t>
      </w:r>
      <w:r w:rsidRPr="006C79E6">
        <w:t xml:space="preserve">ozhodnutí o výběru dodavatele, </w:t>
      </w:r>
      <w:r w:rsidR="0043736D">
        <w:t>r</w:t>
      </w:r>
      <w:r>
        <w:t xml:space="preserve">ozhodnutí o vyloučení dodavatele, </w:t>
      </w:r>
      <w:r w:rsidR="0043736D">
        <w:t>r</w:t>
      </w:r>
      <w:r w:rsidRPr="006C79E6">
        <w:t xml:space="preserve">ozhodnutí o zrušení </w:t>
      </w:r>
      <w:r>
        <w:t>zadávacího</w:t>
      </w:r>
      <w:r w:rsidRPr="006C79E6">
        <w:t xml:space="preserve"> řízení nebo </w:t>
      </w:r>
      <w:r w:rsidR="0043736D">
        <w:t>p</w:t>
      </w:r>
      <w:r>
        <w:t>ísemná zpráva zadavatele</w:t>
      </w:r>
      <w:r w:rsidRPr="006C79E6">
        <w:t>.</w:t>
      </w:r>
    </w:p>
    <w:p w14:paraId="7DE01FA8" w14:textId="19937415" w:rsidR="00991E33" w:rsidRDefault="00805DBC" w:rsidP="0045331A">
      <w:hyperlink w:anchor="_ZADÁVACÍ_ŘÍZENÍ_1" w:history="1">
        <w:r w:rsidR="00105D25">
          <w:rPr>
            <w:rStyle w:val="Hypertextovodkaz"/>
          </w:rPr>
          <w:t>Odkaz</w:t>
        </w:r>
        <w:r w:rsidR="00991E33" w:rsidRPr="00991E33">
          <w:rPr>
            <w:rStyle w:val="Hypertextovodkaz"/>
          </w:rPr>
          <w:t xml:space="preserve"> na článek č. 9 ZD</w:t>
        </w:r>
      </w:hyperlink>
    </w:p>
    <w:p w14:paraId="274BE72D" w14:textId="77777777" w:rsidR="0045331A" w:rsidRPr="00AE39CC" w:rsidRDefault="0045331A" w:rsidP="006130F2">
      <w:pPr>
        <w:pStyle w:val="Nadpis1"/>
      </w:pPr>
      <w:bookmarkStart w:id="129" w:name="_ZÁVĚREČNÁ_USTANOVENÍ"/>
      <w:bookmarkStart w:id="130" w:name="_Toc155796919"/>
      <w:bookmarkEnd w:id="129"/>
      <w:r w:rsidRPr="00AE39CC">
        <w:t>ZÁVĚREČNÁ USTANOVENÍ</w:t>
      </w:r>
      <w:bookmarkEnd w:id="130"/>
    </w:p>
    <w:p w14:paraId="25F06285" w14:textId="77777777" w:rsidR="0045331A" w:rsidRPr="00AE39CC" w:rsidRDefault="0045331A" w:rsidP="00A94922">
      <w:pPr>
        <w:pStyle w:val="Nadpis2"/>
      </w:pPr>
      <w:bookmarkStart w:id="131" w:name="_E-ZAK"/>
      <w:bookmarkStart w:id="132" w:name="_Toc155796920"/>
      <w:bookmarkEnd w:id="131"/>
      <w:r w:rsidRPr="00AE39CC">
        <w:t>E-ZAK</w:t>
      </w:r>
      <w:bookmarkEnd w:id="132"/>
    </w:p>
    <w:p w14:paraId="12005280" w14:textId="77777777" w:rsidR="0045331A" w:rsidRPr="00A55DED" w:rsidRDefault="0045331A" w:rsidP="0045331A">
      <w:r w:rsidRPr="00A55DED">
        <w:t xml:space="preserve">Systém E-ZAK je certifikovaným elektronickým nástrojem, který slouží zadávání veřejných zakázek. Dodavatelé musí být v E-ZAK registrováni, aby mohli podat elektronickou nabídku. </w:t>
      </w:r>
    </w:p>
    <w:p w14:paraId="3169A53C" w14:textId="10EB32DF" w:rsidR="0045331A" w:rsidRDefault="0045331A" w:rsidP="0045331A">
      <w:pPr>
        <w:spacing w:after="0"/>
        <w:rPr>
          <w:rFonts w:cs="Calibri"/>
        </w:rPr>
      </w:pPr>
      <w:r w:rsidRPr="00167F35">
        <w:rPr>
          <w:rFonts w:cs="Calibri"/>
        </w:rPr>
        <w:t>Na elektronický nástroj E-ZAK (</w:t>
      </w:r>
      <w:hyperlink r:id="rId10" w:history="1">
        <w:r w:rsidRPr="00167F35">
          <w:rPr>
            <w:rFonts w:cs="Calibri"/>
            <w:color w:val="0563C1"/>
            <w:u w:val="single"/>
          </w:rPr>
          <w:t>https://ezak.cnpk.cz</w:t>
        </w:r>
      </w:hyperlink>
      <w:r w:rsidRPr="00167F35">
        <w:rPr>
          <w:rFonts w:cs="Calibri"/>
        </w:rPr>
        <w:t xml:space="preserve">) je napojena </w:t>
      </w:r>
      <w:r w:rsidRPr="00167F35">
        <w:rPr>
          <w:rFonts w:cs="Calibri"/>
          <w:b/>
        </w:rPr>
        <w:t>Centrální databáze dodavatelů</w:t>
      </w:r>
      <w:r w:rsidRPr="00167F35">
        <w:rPr>
          <w:rFonts w:cs="Calibri"/>
        </w:rPr>
        <w:t xml:space="preserve"> portálu FEN, kde probíhá registrace a administrace uživatelských účtů. </w:t>
      </w:r>
      <w:r w:rsidRPr="00167F35">
        <w:rPr>
          <w:rFonts w:cs="Calibri"/>
          <w:b/>
        </w:rPr>
        <w:t>Dodavatel se musí registrovat v Centrální databázi dodavatelů</w:t>
      </w:r>
      <w:r w:rsidRPr="00167F35">
        <w:rPr>
          <w:rFonts w:cs="Calibri"/>
        </w:rPr>
        <w:t xml:space="preserve"> v systému FEN.cz (</w:t>
      </w:r>
      <w:hyperlink r:id="rId11" w:anchor="/registrace" w:history="1">
        <w:r w:rsidRPr="00167F35">
          <w:rPr>
            <w:rStyle w:val="Hypertextovodkaz"/>
            <w:rFonts w:cs="Calibri"/>
          </w:rPr>
          <w:t>https://fen.cz/#/registrace</w:t>
        </w:r>
      </w:hyperlink>
      <w:r w:rsidRPr="00167F35">
        <w:rPr>
          <w:rFonts w:cs="Calibri"/>
        </w:rPr>
        <w:t xml:space="preserve">), kde je ověřena jeho identita. Pokud </w:t>
      </w:r>
      <w:r w:rsidR="0043736D">
        <w:rPr>
          <w:rFonts w:cs="Calibri"/>
        </w:rPr>
        <w:t xml:space="preserve">dodavatel </w:t>
      </w:r>
      <w:r w:rsidRPr="00167F35">
        <w:rPr>
          <w:rFonts w:cs="Calibri"/>
        </w:rPr>
        <w:t xml:space="preserve">nebude registrován, nemůže v systému E-ZAK podávat nabídky ani zasílat zprávy. Proces registrace trvá </w:t>
      </w:r>
      <w:r w:rsidRPr="00167F35">
        <w:rPr>
          <w:rFonts w:cs="Calibri"/>
          <w:b/>
        </w:rPr>
        <w:t>do 48 hodin</w:t>
      </w:r>
      <w:r w:rsidRPr="00167F35">
        <w:rPr>
          <w:rFonts w:cs="Calibri"/>
        </w:rPr>
        <w:t xml:space="preserve"> během pracovních dnů. Další informace jsou zde:</w:t>
      </w:r>
    </w:p>
    <w:p w14:paraId="3CF4B322" w14:textId="77777777" w:rsidR="0045331A" w:rsidRPr="00167F35" w:rsidRDefault="00805DBC" w:rsidP="0045331A">
      <w:pPr>
        <w:spacing w:after="0"/>
        <w:rPr>
          <w:rFonts w:cs="Calibri"/>
        </w:rPr>
      </w:pPr>
      <w:hyperlink r:id="rId12" w:history="1">
        <w:r w:rsidR="0045331A" w:rsidRPr="00167F35">
          <w:rPr>
            <w:rFonts w:cs="Calibri"/>
            <w:color w:val="0563C1"/>
            <w:u w:val="single"/>
          </w:rPr>
          <w:t>https://sites.google.com/fen.cz/napovedafen/n%C3%A1pov%C4%9Bda-fen/registrace-a-ov%C4%9B%C5%99en%C3%AD-dodavatele</w:t>
        </w:r>
      </w:hyperlink>
      <w:r w:rsidR="0045331A" w:rsidRPr="00167F35">
        <w:rPr>
          <w:rFonts w:cs="Calibri"/>
        </w:rPr>
        <w:t xml:space="preserve">; </w:t>
      </w:r>
    </w:p>
    <w:p w14:paraId="1288EC02" w14:textId="77777777" w:rsidR="0045331A" w:rsidRPr="00167F35" w:rsidRDefault="00805DBC" w:rsidP="0045331A">
      <w:pPr>
        <w:spacing w:after="0"/>
        <w:rPr>
          <w:rFonts w:cs="Calibri"/>
        </w:rPr>
      </w:pPr>
      <w:hyperlink r:id="rId13" w:history="1">
        <w:r w:rsidR="0045331A" w:rsidRPr="00167F35">
          <w:rPr>
            <w:rFonts w:cs="Calibri"/>
            <w:color w:val="0563C1"/>
            <w:u w:val="single"/>
          </w:rPr>
          <w:t>https://ezak.cnpk.cz/manual_2/ezak-manual-dodavatele-cdd-pdf</w:t>
        </w:r>
      </w:hyperlink>
      <w:r w:rsidR="0045331A" w:rsidRPr="00167F35">
        <w:rPr>
          <w:rFonts w:cs="Calibri"/>
        </w:rPr>
        <w:t xml:space="preserve">  (str. 9-17)</w:t>
      </w:r>
    </w:p>
    <w:p w14:paraId="29D2B53C" w14:textId="77777777" w:rsidR="0045331A" w:rsidRPr="00167F35" w:rsidRDefault="00805DBC" w:rsidP="0045331A">
      <w:pPr>
        <w:rPr>
          <w:rFonts w:cs="Calibri"/>
        </w:rPr>
      </w:pPr>
      <w:hyperlink r:id="rId14" w:history="1">
        <w:r w:rsidR="0045331A" w:rsidRPr="00167F35">
          <w:rPr>
            <w:rFonts w:cs="Calibri"/>
            <w:color w:val="0563C1"/>
            <w:u w:val="single"/>
          </w:rPr>
          <w:t>https://www.cnpk.cz/blog/zmena-prihlasovani-do-ezak-pro-dodavatele</w:t>
        </w:r>
      </w:hyperlink>
    </w:p>
    <w:p w14:paraId="137F9498" w14:textId="77777777" w:rsidR="0045331A" w:rsidRPr="00167F35" w:rsidRDefault="0045331A" w:rsidP="0045331A">
      <w:pPr>
        <w:spacing w:after="0"/>
        <w:rPr>
          <w:rFonts w:cs="Calibri"/>
        </w:rPr>
      </w:pPr>
      <w:r w:rsidRPr="00167F35">
        <w:rPr>
          <w:rFonts w:cs="Calibri"/>
        </w:rPr>
        <w:t xml:space="preserve">Pokud dodavatel v E-ZAKu klikne na odkaz Registrace dodavatele v levém menu, následuje informace o registraci v systému FEN.cz. </w:t>
      </w:r>
      <w:r w:rsidRPr="005B37FA">
        <w:rPr>
          <w:rFonts w:cs="Calibri"/>
          <w:b/>
        </w:rPr>
        <w:t>Důležité odkazy:</w:t>
      </w:r>
    </w:p>
    <w:p w14:paraId="20743DDF" w14:textId="77777777" w:rsidR="0045331A" w:rsidRPr="00167F35" w:rsidRDefault="00805DBC" w:rsidP="0045331A">
      <w:pPr>
        <w:spacing w:after="0"/>
        <w:rPr>
          <w:rFonts w:cs="Calibri"/>
        </w:rPr>
      </w:pPr>
      <w:hyperlink r:id="rId15" w:history="1">
        <w:r w:rsidR="0045331A" w:rsidRPr="00167F35">
          <w:rPr>
            <w:rFonts w:cs="Calibri"/>
            <w:color w:val="0563C1"/>
            <w:u w:val="single"/>
          </w:rPr>
          <w:t>www.FEN.cz</w:t>
        </w:r>
      </w:hyperlink>
      <w:r w:rsidR="0045331A" w:rsidRPr="00167F35">
        <w:rPr>
          <w:rFonts w:cs="Calibri"/>
        </w:rPr>
        <w:t>, případně dodavatel kontaktuje podporu systému FEN či E-ZAK.</w:t>
      </w:r>
    </w:p>
    <w:p w14:paraId="267665C3" w14:textId="77777777" w:rsidR="0045331A" w:rsidRPr="00167F35" w:rsidRDefault="0045331A" w:rsidP="0045331A">
      <w:pPr>
        <w:spacing w:after="0"/>
        <w:rPr>
          <w:rFonts w:cs="Calibri"/>
        </w:rPr>
      </w:pPr>
      <w:r w:rsidRPr="00167F35">
        <w:rPr>
          <w:rFonts w:cs="Calibri"/>
        </w:rPr>
        <w:t xml:space="preserve">Podpora FEN - e-mail: </w:t>
      </w:r>
      <w:hyperlink r:id="rId16" w:history="1">
        <w:r w:rsidRPr="00167F35">
          <w:rPr>
            <w:rFonts w:cs="Calibri"/>
            <w:color w:val="0563C1"/>
            <w:u w:val="single"/>
          </w:rPr>
          <w:t>podpora@fen.cz</w:t>
        </w:r>
      </w:hyperlink>
      <w:r w:rsidRPr="00167F35">
        <w:rPr>
          <w:rFonts w:cs="Calibri"/>
        </w:rPr>
        <w:t>, Tel.: +420 515 917 947</w:t>
      </w:r>
    </w:p>
    <w:p w14:paraId="272AA3D6" w14:textId="77777777" w:rsidR="0045331A" w:rsidRPr="00167F35" w:rsidRDefault="0045331A" w:rsidP="0045331A">
      <w:pPr>
        <w:rPr>
          <w:rFonts w:cs="Calibri"/>
        </w:rPr>
      </w:pPr>
      <w:r w:rsidRPr="00167F35">
        <w:rPr>
          <w:rFonts w:cs="Calibri"/>
        </w:rPr>
        <w:t xml:space="preserve">Podpora EZAK - e-mail: </w:t>
      </w:r>
      <w:hyperlink r:id="rId17" w:history="1">
        <w:r w:rsidRPr="00167F35">
          <w:rPr>
            <w:rFonts w:cs="Calibri"/>
            <w:color w:val="0563C1"/>
            <w:u w:val="single"/>
          </w:rPr>
          <w:t>podpora@ezak.cz</w:t>
        </w:r>
      </w:hyperlink>
      <w:r w:rsidRPr="00167F35">
        <w:rPr>
          <w:rFonts w:cs="Calibri"/>
        </w:rPr>
        <w:t xml:space="preserve">, Tel.: +420 538 702 719  </w:t>
      </w:r>
    </w:p>
    <w:p w14:paraId="29DC12D9" w14:textId="77777777" w:rsidR="0045331A" w:rsidRDefault="0045331A" w:rsidP="0045331A">
      <w:pPr>
        <w:rPr>
          <w:rFonts w:cs="Calibri"/>
        </w:rPr>
      </w:pPr>
      <w:r w:rsidRPr="00167F35">
        <w:rPr>
          <w:rFonts w:cs="Calibri"/>
        </w:rPr>
        <w:t>V případě, že se dodavateli nedaří zaregistrovat do FEN, může být příčinou, že byl před vyhlášením této VZ již „předregistrován“ administrátorem a jeho IČO je tak obsazeno. V tomto případě je nutné vstoupit k dokončení registrace pomocí hypertextového odkazu z předregistračního e-mailu systému Centrální databáze dodavatelů FEN.cz, který byl zaslán na adresu dodavatele ze strany podpory EZAK. V případě potíží, ztráty nebo neobdržení předregistračního e-mailu lze kontaktovat výše uvedenou podporu systému FEN nebo EZAK.</w:t>
      </w:r>
    </w:p>
    <w:p w14:paraId="2C8D51B4" w14:textId="1067B3C3" w:rsidR="008D374C" w:rsidRDefault="00805DBC" w:rsidP="0045331A">
      <w:pPr>
        <w:rPr>
          <w:rFonts w:cs="Calibri"/>
        </w:rPr>
      </w:pPr>
      <w:hyperlink w:anchor="_E-ZAK_1" w:history="1">
        <w:r w:rsidR="008D374C" w:rsidRPr="008D374C">
          <w:rPr>
            <w:rStyle w:val="Hypertextovodkaz"/>
            <w:rFonts w:cs="Calibri"/>
          </w:rPr>
          <w:t>Zpět na článek č. 10.1 ZD</w:t>
        </w:r>
      </w:hyperlink>
    </w:p>
    <w:p w14:paraId="7ACBDAF5" w14:textId="77777777" w:rsidR="0045331A" w:rsidRPr="00AE39CC" w:rsidRDefault="0045331A" w:rsidP="00A94922">
      <w:pPr>
        <w:pStyle w:val="Nadpis2"/>
      </w:pPr>
      <w:bookmarkStart w:id="133" w:name="_KOMUNIKACE"/>
      <w:bookmarkStart w:id="134" w:name="_Toc155796921"/>
      <w:bookmarkEnd w:id="133"/>
      <w:r w:rsidRPr="00AE39CC">
        <w:t>KOMUNIKACE</w:t>
      </w:r>
      <w:bookmarkEnd w:id="134"/>
    </w:p>
    <w:p w14:paraId="799BD7D2" w14:textId="3F79FB39" w:rsidR="0045331A" w:rsidRDefault="0045331A" w:rsidP="0045331A">
      <w:r>
        <w:t xml:space="preserve">Komunikace mezi zadavatelem, administrátorem na straně jedné a dodavateli na straně druhé probíhá elektronicky prostřednictvím systému E-ZAK v detailu VZ uvedeném na úvodní straně </w:t>
      </w:r>
      <w:r w:rsidR="0043736D">
        <w:t>Z</w:t>
      </w:r>
      <w:r>
        <w:t>adávací dokumentace</w:t>
      </w:r>
      <w:r w:rsidRPr="00FB783F">
        <w:t>.</w:t>
      </w:r>
      <w:r>
        <w:t xml:space="preserve"> Výjimečně může dodavatel zaslat písemnost na kontaktní e-mail nebo datové schránky zadavatele či administrátora. Nepřipouští se telefonická komunikace</w:t>
      </w:r>
      <w:r w:rsidR="0043736D">
        <w:t>,</w:t>
      </w:r>
      <w:r>
        <w:t xml:space="preserve"> komunikace v listinné podobě</w:t>
      </w:r>
      <w:r w:rsidR="0043736D">
        <w:t xml:space="preserve"> ani osobní jednání</w:t>
      </w:r>
      <w:r>
        <w:t xml:space="preserve">, nestanoví-li ZD </w:t>
      </w:r>
      <w:r w:rsidR="0043736D">
        <w:t xml:space="preserve">nebo ZZVZ </w:t>
      </w:r>
      <w:r>
        <w:t>jinak.</w:t>
      </w:r>
    </w:p>
    <w:p w14:paraId="3D6CCDBC" w14:textId="1E11B7CD" w:rsidR="00991E33" w:rsidRDefault="00991E33" w:rsidP="00991E33">
      <w:r w:rsidRPr="00CC1A08">
        <w:t>Zadavatel může dodavatele vyzvat k potvrzení přijetí zprávy. Pokud zadavatel zasílá dodavateli zprávu elektronickou poštou (Outlook)</w:t>
      </w:r>
      <w:r>
        <w:t xml:space="preserve"> a dodavatel zprávu nepotvrdí</w:t>
      </w:r>
      <w:r w:rsidRPr="00CC1A08">
        <w:t>, považuje se za dobu doručení okamžik přijetí zprávy poštovním serverem dodavatele (tj. okamžik, kdy je zadavateli doručeno oznámení o</w:t>
      </w:r>
      <w:r>
        <w:t> </w:t>
      </w:r>
      <w:r w:rsidRPr="00CC1A08">
        <w:t>doručení zprávy). V případě pochybností je okamžikem doručení následující den po odeslání zprávy. V</w:t>
      </w:r>
      <w:r>
        <w:t> </w:t>
      </w:r>
      <w:r w:rsidRPr="00CC1A08">
        <w:t xml:space="preserve">případě zasílání zpráv v elektronickém nástroji E-ZAK se za dobu doručení považuje </w:t>
      </w:r>
      <w:r>
        <w:t>okamžik přijetí datové zprávy na elektronickou adresu dodavatele v elektronickém nástroji, v případě pochybností následující den po odeslání zprávy.</w:t>
      </w:r>
    </w:p>
    <w:p w14:paraId="27AC2165" w14:textId="744B497F" w:rsidR="008D374C" w:rsidRDefault="00805DBC" w:rsidP="00991E33">
      <w:hyperlink w:anchor="_KOMUNIKACE_1" w:history="1">
        <w:r w:rsidR="008D374C" w:rsidRPr="008D374C">
          <w:rPr>
            <w:rStyle w:val="Hypertextovodkaz"/>
          </w:rPr>
          <w:t>Zpět na článek č. 10.2 ZD</w:t>
        </w:r>
      </w:hyperlink>
    </w:p>
    <w:p w14:paraId="6AB38601" w14:textId="77777777" w:rsidR="0045331A" w:rsidRPr="00AE39CC" w:rsidRDefault="0045331A" w:rsidP="00A94922">
      <w:pPr>
        <w:pStyle w:val="Nadpis2"/>
      </w:pPr>
      <w:bookmarkStart w:id="135" w:name="_GDPR"/>
      <w:bookmarkStart w:id="136" w:name="_Toc155796922"/>
      <w:bookmarkEnd w:id="135"/>
      <w:r w:rsidRPr="00AE39CC">
        <w:t>GDPR</w:t>
      </w:r>
      <w:bookmarkEnd w:id="136"/>
    </w:p>
    <w:p w14:paraId="0428B1CE" w14:textId="7FEA6631" w:rsidR="0045331A" w:rsidRPr="004F6002" w:rsidRDefault="0045331A" w:rsidP="0045331A">
      <w:r>
        <w:t>Z</w:t>
      </w:r>
      <w:r w:rsidRPr="004F6002">
        <w:t xml:space="preserve">adavatel je správcem osobních a citlivých údajů, </w:t>
      </w:r>
      <w:r>
        <w:t xml:space="preserve">administrátor zpracovatelem těchto údajů, </w:t>
      </w:r>
      <w:r w:rsidRPr="004F6002">
        <w:t xml:space="preserve">které </w:t>
      </w:r>
      <w:r>
        <w:t xml:space="preserve">jsou </w:t>
      </w:r>
      <w:r w:rsidRPr="004F6002">
        <w:t>získá</w:t>
      </w:r>
      <w:r>
        <w:t>ny</w:t>
      </w:r>
      <w:r w:rsidRPr="004F6002">
        <w:t xml:space="preserve"> v této veřejné zakázce. Zpracování údajů je nezbytné pro splnění právní povinnosti správce, které vyplývá ze ZZVZ. </w:t>
      </w:r>
      <w:r>
        <w:t xml:space="preserve">Zadavatel, administrátor, jejich zaměstnanci a osoby pověřené kontrolou nabídek jsou vázáni mlčenlivostí. </w:t>
      </w:r>
      <w:r w:rsidRPr="004F6002">
        <w:t xml:space="preserve">O veřejné zakázce je veden spis, který je neveřejný. </w:t>
      </w:r>
      <w:r>
        <w:t xml:space="preserve">Poté co bude zadávací řízení ukončeno, předá administrátor spis zadavateli k archivaci. </w:t>
      </w:r>
      <w:r w:rsidRPr="004F6002">
        <w:t xml:space="preserve">Skartační lhůta činí </w:t>
      </w:r>
      <w:r>
        <w:t>10</w:t>
      </w:r>
      <w:r w:rsidRPr="004F6002">
        <w:t xml:space="preserve"> let od ukončení </w:t>
      </w:r>
      <w:r>
        <w:t>zadávacího</w:t>
      </w:r>
      <w:r w:rsidRPr="004F6002">
        <w:t xml:space="preserve"> řízení nebo od změny závazku ze smlouvy</w:t>
      </w:r>
      <w:r w:rsidR="00204168">
        <w:t xml:space="preserve">, u dotovaných veřejných zakázek činí skartační lhůta 10 let od finančního ukončení projektu. </w:t>
      </w:r>
      <w:r w:rsidRPr="004F6002">
        <w:t xml:space="preserve">Dodavatel je oprávněn požádat o výmaz údajů až po uplynutí skartační doby. Další informace jsou uvedeny na webu </w:t>
      </w:r>
      <w:r>
        <w:t>administrátora</w:t>
      </w:r>
      <w:r w:rsidRPr="004F6002">
        <w:t xml:space="preserve"> (</w:t>
      </w:r>
      <w:hyperlink r:id="rId18" w:history="1">
        <w:r w:rsidRPr="00040D54">
          <w:rPr>
            <w:rStyle w:val="Hypertextovodkaz"/>
          </w:rPr>
          <w:t>www.cnpk.cz</w:t>
        </w:r>
      </w:hyperlink>
      <w:r w:rsidRPr="004F6002">
        <w:t>).</w:t>
      </w:r>
    </w:p>
    <w:p w14:paraId="2839CC5B" w14:textId="5DA52756" w:rsidR="0045331A" w:rsidRPr="004F6002" w:rsidRDefault="0045331A" w:rsidP="0045331A">
      <w:r w:rsidRPr="004F6002">
        <w:t xml:space="preserve">Jestliže dodavatel považuje některé údaje z nabídky za citlivé, např. z důvodu ochrany obchodního tajemství, označí je v nabídce. V opačném případě bude </w:t>
      </w:r>
      <w:r>
        <w:t xml:space="preserve">uzavřená smlouva </w:t>
      </w:r>
      <w:r w:rsidRPr="004F6002">
        <w:t>zveřejněna včetně všech údajů, které dodavatel uvedl v nabídce.</w:t>
      </w:r>
      <w:r w:rsidR="006859B7" w:rsidRPr="006859B7">
        <w:rPr>
          <w:color w:val="0070C0"/>
        </w:rPr>
        <w:t xml:space="preserve"> </w:t>
      </w:r>
      <w:r w:rsidR="006859B7" w:rsidRPr="00E01759">
        <w:t>Údaje o vybraném dodavateli, jeho celkové nabídkové ceně a celkové odměně uhrazené zadavatelem dodavateli budou vždy zveřejněny, neboť se jedná o vynaložení veřejných prostředků.</w:t>
      </w:r>
    </w:p>
    <w:p w14:paraId="4C619274" w14:textId="77777777" w:rsidR="0045331A" w:rsidRDefault="0045331A" w:rsidP="0045331A">
      <w:r w:rsidRPr="004F6002">
        <w:t xml:space="preserve">Informace podle zákona č. 106/1999 Sb., o svobodném přístupu k informacím budou poskytnuty až po skončení </w:t>
      </w:r>
      <w:r>
        <w:t>zadávacího</w:t>
      </w:r>
      <w:r w:rsidRPr="004F6002">
        <w:t xml:space="preserve"> řízení.</w:t>
      </w:r>
    </w:p>
    <w:p w14:paraId="59108423" w14:textId="3404D883" w:rsidR="008D374C" w:rsidRDefault="00805DBC" w:rsidP="0045331A">
      <w:hyperlink w:anchor="_GDPR_1" w:history="1">
        <w:r w:rsidR="008D374C" w:rsidRPr="008D374C">
          <w:rPr>
            <w:rStyle w:val="Hypertextovodkaz"/>
          </w:rPr>
          <w:t>Zpět na článek č. 10.3 ZD</w:t>
        </w:r>
      </w:hyperlink>
    </w:p>
    <w:p w14:paraId="563C4C59" w14:textId="61FEE65E" w:rsidR="0045331A" w:rsidRPr="00AE39CC" w:rsidRDefault="00336F77" w:rsidP="00A94922">
      <w:pPr>
        <w:pStyle w:val="Nadpis2"/>
      </w:pPr>
      <w:bookmarkStart w:id="137" w:name="_Další_informace:"/>
      <w:bookmarkStart w:id="138" w:name="_Toc155796923"/>
      <w:bookmarkEnd w:id="137"/>
      <w:r>
        <w:t>Další informace:</w:t>
      </w:r>
      <w:bookmarkEnd w:id="138"/>
    </w:p>
    <w:p w14:paraId="4577F6A8" w14:textId="77777777" w:rsidR="0045331A" w:rsidRDefault="0045331A" w:rsidP="00285D79">
      <w:pPr>
        <w:pStyle w:val="Odstavecseseznamem"/>
        <w:numPr>
          <w:ilvl w:val="0"/>
          <w:numId w:val="10"/>
        </w:numPr>
        <w:ind w:left="567" w:hanging="425"/>
        <w:contextualSpacing w:val="0"/>
      </w:pPr>
      <w:r>
        <w:t>Zadavatel je oprávněn ověřit si údaje z nabídky dodavatele u třetích osob.</w:t>
      </w:r>
    </w:p>
    <w:p w14:paraId="4DDC9AE3" w14:textId="4FF7F0BE" w:rsidR="0045331A" w:rsidRDefault="0045331A" w:rsidP="00285D79">
      <w:pPr>
        <w:pStyle w:val="Odstavecseseznamem"/>
        <w:numPr>
          <w:ilvl w:val="0"/>
          <w:numId w:val="10"/>
        </w:numPr>
        <w:ind w:left="567" w:hanging="425"/>
        <w:contextualSpacing w:val="0"/>
      </w:pPr>
      <w:r>
        <w:t xml:space="preserve">Zadavatel nehradí dodavatelům náklady spojené s účastí v zadávacím řízení. Tím </w:t>
      </w:r>
      <w:r w:rsidRPr="0033598E">
        <w:t>nejsou dotčeny povinnosti zadavatele dle § 40 odst. 4</w:t>
      </w:r>
      <w:r w:rsidR="0043736D">
        <w:t xml:space="preserve"> až 6</w:t>
      </w:r>
      <w:r w:rsidRPr="0033598E">
        <w:t xml:space="preserve"> ZZVZ</w:t>
      </w:r>
      <w:r>
        <w:t>.</w:t>
      </w:r>
    </w:p>
    <w:p w14:paraId="5C1D6CA5" w14:textId="7864BC3C" w:rsidR="0045331A" w:rsidRPr="00B72CB8" w:rsidRDefault="0045331A" w:rsidP="00285D79">
      <w:pPr>
        <w:pStyle w:val="Odstavecseseznamem"/>
        <w:numPr>
          <w:ilvl w:val="0"/>
          <w:numId w:val="10"/>
        </w:numPr>
        <w:ind w:left="567" w:hanging="425"/>
        <w:contextualSpacing w:val="0"/>
      </w:pPr>
      <w:r w:rsidRPr="00B72CB8">
        <w:t>V případě rozporu mezi jednotlivými dokumenty</w:t>
      </w:r>
      <w:r w:rsidR="00007CD6">
        <w:t xml:space="preserve"> je stanovena priorita: 1. zákon</w:t>
      </w:r>
      <w:r w:rsidRPr="00B72CB8">
        <w:t>, 2.</w:t>
      </w:r>
      <w:r w:rsidR="00B72CB8" w:rsidRPr="00B72CB8">
        <w:t xml:space="preserve"> Z</w:t>
      </w:r>
      <w:r w:rsidR="00007CD6">
        <w:t>D</w:t>
      </w:r>
      <w:r w:rsidRPr="00B72CB8">
        <w:t xml:space="preserve">, 3. </w:t>
      </w:r>
      <w:r w:rsidR="00B72CB8" w:rsidRPr="00B72CB8">
        <w:t xml:space="preserve">návrh smlouvy, 4. </w:t>
      </w:r>
      <w:r w:rsidRPr="00B72CB8">
        <w:t>další přílohy ZD.</w:t>
      </w:r>
    </w:p>
    <w:p w14:paraId="2B1A2199" w14:textId="518D6D33" w:rsidR="0045331A" w:rsidRDefault="0045331A" w:rsidP="00285D79">
      <w:pPr>
        <w:pStyle w:val="Odstavecseseznamem"/>
        <w:numPr>
          <w:ilvl w:val="0"/>
          <w:numId w:val="10"/>
        </w:numPr>
        <w:ind w:left="567" w:hanging="425"/>
        <w:contextualSpacing w:val="0"/>
      </w:pPr>
      <w:r>
        <w:t>Vybraný dodavatel je povinen</w:t>
      </w:r>
      <w:r w:rsidR="00C9124D">
        <w:t xml:space="preserve"> poskytnout součinnost v případ</w:t>
      </w:r>
      <w:r>
        <w:t>ě kontroly veřejné zakázky ze strany oprávněných orgánů.</w:t>
      </w:r>
    </w:p>
    <w:p w14:paraId="2487B297" w14:textId="77777777" w:rsidR="0045331A" w:rsidRDefault="0045331A" w:rsidP="00285D79">
      <w:pPr>
        <w:pStyle w:val="Odstavecseseznamem"/>
        <w:numPr>
          <w:ilvl w:val="0"/>
          <w:numId w:val="10"/>
        </w:numPr>
        <w:ind w:left="567" w:hanging="425"/>
        <w:contextualSpacing w:val="0"/>
        <w:rPr>
          <w:color w:val="000000"/>
        </w:rPr>
      </w:pPr>
      <w:r>
        <w:rPr>
          <w:color w:val="000000"/>
        </w:rPr>
        <w:t>Text ZD vč. příloh je duševním vlastnictvím příspěvkové organizace Centrální nákup Plzeňského kraje, přičemž kopírování, přebírání pasáží či zpeněžení této dokumentace je přípustné pouze s předchozím souhlasem ředitelky CNPK.</w:t>
      </w:r>
    </w:p>
    <w:p w14:paraId="647DCD3B" w14:textId="77777777" w:rsidR="005E48AB" w:rsidRDefault="005E48AB" w:rsidP="005E48AB">
      <w:pPr>
        <w:pStyle w:val="Odstavecseseznamem"/>
        <w:numPr>
          <w:ilvl w:val="0"/>
          <w:numId w:val="10"/>
        </w:numPr>
        <w:ind w:left="567" w:hanging="425"/>
        <w:contextualSpacing w:val="0"/>
      </w:pPr>
      <w:r>
        <w:t>Dodavatel, který nesplní požadavky zadavatele vyplývající z této ZD, bude vyloučen ze zadávacího řízení.</w:t>
      </w:r>
    </w:p>
    <w:p w14:paraId="2F49D191" w14:textId="77777777" w:rsidR="005E48AB" w:rsidRPr="007E2CB4" w:rsidRDefault="005E48AB" w:rsidP="005E48AB">
      <w:pPr>
        <w:pStyle w:val="Odstavecseseznamem"/>
        <w:numPr>
          <w:ilvl w:val="0"/>
          <w:numId w:val="10"/>
        </w:numPr>
        <w:ind w:left="567" w:hanging="425"/>
        <w:contextualSpacing w:val="0"/>
      </w:pPr>
      <w:r w:rsidRPr="007E2CB4">
        <w:t>Dodavatelům je doporučeno pravidelně sledovat informace o veřejné zakázce v detailu VZ v E-ZAK.</w:t>
      </w:r>
    </w:p>
    <w:p w14:paraId="1F19932A" w14:textId="70511931" w:rsidR="005E48AB" w:rsidRPr="007E2CB4" w:rsidRDefault="00120B2B" w:rsidP="005E48AB">
      <w:pPr>
        <w:pStyle w:val="Odstavecseseznamem"/>
        <w:numPr>
          <w:ilvl w:val="0"/>
          <w:numId w:val="10"/>
        </w:numPr>
        <w:ind w:left="567" w:hanging="425"/>
        <w:contextualSpacing w:val="0"/>
      </w:pPr>
      <w:r>
        <w:t>V případě, že by se v zadávacích podmínkách</w:t>
      </w:r>
      <w:r w:rsidR="005E48AB" w:rsidRPr="007E2CB4">
        <w:t xml:space="preserve"> vyskytly odkazy nebo specifikace </w:t>
      </w:r>
      <w:r>
        <w:t xml:space="preserve">konkrétních </w:t>
      </w:r>
      <w:r w:rsidR="005E48AB" w:rsidRPr="007E2CB4">
        <w:t>výrobků</w:t>
      </w:r>
      <w:r>
        <w:t>, patentů, užitných vzorů, ochranných známek, či označení původu apod.</w:t>
      </w:r>
      <w:r w:rsidR="00BA040F">
        <w:t>, je toto uvedení pouze příkladm</w:t>
      </w:r>
      <w:r w:rsidR="005E48AB" w:rsidRPr="007E2CB4">
        <w:t xml:space="preserve">é. </w:t>
      </w:r>
      <w:r>
        <w:rPr>
          <w:lang w:eastAsia="cs-CZ"/>
        </w:rPr>
        <w:t>Zadavatel výslovně připouští a umožňuje nabídnout rovnocenné, kvalitativně srovnatelné technické plnění.</w:t>
      </w:r>
    </w:p>
    <w:p w14:paraId="35C001CA" w14:textId="1B21A423" w:rsidR="005E48AB" w:rsidRPr="007E2CB4" w:rsidRDefault="0082449F" w:rsidP="005E48AB">
      <w:pPr>
        <w:pStyle w:val="Odstavecseseznamem"/>
        <w:numPr>
          <w:ilvl w:val="0"/>
          <w:numId w:val="10"/>
        </w:numPr>
        <w:ind w:left="567" w:hanging="425"/>
        <w:contextualSpacing w:val="0"/>
      </w:pPr>
      <w:r>
        <w:t>Podepisuje-li dodavatel čestné prohlášení, smlouvu na plnění veřejné zakázky nebo jiné podstatné dokumenty, musí podpis učinit osoba oprávněná zastupovat dodavatele. Nevyplývá-li oprávnění z výpisu z obchodního rejstříku, předloží dodavatel nejpozději do uzavření smlouvy kopii plné moci.</w:t>
      </w:r>
    </w:p>
    <w:p w14:paraId="6E4ED42B" w14:textId="77777777" w:rsidR="005E48AB" w:rsidRPr="007E2CB4" w:rsidRDefault="005E48AB" w:rsidP="005E48AB">
      <w:pPr>
        <w:pStyle w:val="Odstavecseseznamem"/>
        <w:numPr>
          <w:ilvl w:val="0"/>
          <w:numId w:val="10"/>
        </w:numPr>
        <w:ind w:left="567" w:hanging="425"/>
        <w:contextualSpacing w:val="0"/>
      </w:pPr>
      <w:r w:rsidRPr="007E2CB4">
        <w:t>Dodavatel je oprávněn podat námitky v souladu s § 241 a násl. ZZVZ.</w:t>
      </w:r>
    </w:p>
    <w:p w14:paraId="612E5E4B" w14:textId="77777777" w:rsidR="005E48AB" w:rsidRPr="007E2CB4" w:rsidRDefault="005E48AB" w:rsidP="005E48AB">
      <w:pPr>
        <w:pStyle w:val="Odstavecseseznamem"/>
        <w:numPr>
          <w:ilvl w:val="0"/>
          <w:numId w:val="10"/>
        </w:numPr>
        <w:ind w:left="567" w:hanging="425"/>
        <w:contextualSpacing w:val="0"/>
      </w:pPr>
      <w:r w:rsidRPr="007E2CB4">
        <w:rPr>
          <w:lang w:eastAsia="cs-CZ"/>
        </w:rPr>
        <w:t>Dodavatel je oprávněn podat písemnou žádost o poskytnutí informací dle § 40 odst. 3 ZZVZ a § 109 odst. 3 ZZVZ.</w:t>
      </w:r>
    </w:p>
    <w:p w14:paraId="4583F0BA" w14:textId="5E1106C2" w:rsidR="00B97301" w:rsidRDefault="005E48AB" w:rsidP="008D374C">
      <w:pPr>
        <w:pStyle w:val="Odstavecseseznamem"/>
        <w:numPr>
          <w:ilvl w:val="0"/>
          <w:numId w:val="10"/>
        </w:numPr>
        <w:ind w:left="567" w:hanging="425"/>
        <w:contextualSpacing w:val="0"/>
      </w:pPr>
      <w:r w:rsidRPr="00D31BA3">
        <w:t>Dojde-li po uzavření smlo</w:t>
      </w:r>
      <w:r>
        <w:t xml:space="preserve">uvy ke změně závazku, </w:t>
      </w:r>
      <w:r w:rsidRPr="00D31BA3">
        <w:t>zadavatel bude postupovat v souladu s § 222 ZZVZ</w:t>
      </w:r>
      <w:r w:rsidR="007E2CB4">
        <w:t>, resp. v sou</w:t>
      </w:r>
      <w:r w:rsidR="00F55E4C">
        <w:t>ladu s čl. 2.6</w:t>
      </w:r>
      <w:r w:rsidR="007E2CB4">
        <w:t xml:space="preserve"> této ZD a § 100 ZZVZ v případě vyhrazených změn závazku</w:t>
      </w:r>
      <w:r w:rsidRPr="00D31BA3">
        <w:t>.</w:t>
      </w:r>
      <w:r w:rsidR="007E2CB4">
        <w:t xml:space="preserve"> </w:t>
      </w:r>
    </w:p>
    <w:p w14:paraId="4E3D2495" w14:textId="1B156923" w:rsidR="008D374C" w:rsidRDefault="00805DBC" w:rsidP="008D374C">
      <w:pPr>
        <w:ind w:left="142"/>
      </w:pPr>
      <w:hyperlink w:anchor="_Další_informace" w:history="1">
        <w:r w:rsidR="008D374C" w:rsidRPr="008D374C">
          <w:rPr>
            <w:rStyle w:val="Hypertextovodkaz"/>
          </w:rPr>
          <w:t>Zpět na článek č. 10.4 ZD</w:t>
        </w:r>
      </w:hyperlink>
    </w:p>
    <w:sectPr w:rsidR="008D374C" w:rsidSect="004E0BD3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559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94F33" w14:textId="77777777" w:rsidR="00A94922" w:rsidRDefault="00A94922" w:rsidP="00A37F4E">
      <w:pPr>
        <w:spacing w:after="0"/>
      </w:pPr>
      <w:r>
        <w:separator/>
      </w:r>
    </w:p>
  </w:endnote>
  <w:endnote w:type="continuationSeparator" w:id="0">
    <w:p w14:paraId="76549BEE" w14:textId="77777777" w:rsidR="00A94922" w:rsidRDefault="00A94922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A94922" w:rsidRPr="00B210C8" w:rsidRDefault="00A94922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805DBC">
      <w:rPr>
        <w:caps/>
        <w:noProof/>
      </w:rPr>
      <w:t>4</w:t>
    </w:r>
    <w:r w:rsidRPr="00B210C8">
      <w:rPr>
        <w:caps/>
      </w:rPr>
      <w:fldChar w:fldCharType="end"/>
    </w:r>
  </w:p>
  <w:p w14:paraId="7B6B468C" w14:textId="77777777" w:rsidR="00A94922" w:rsidRDefault="00A949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C7551" w14:textId="77777777" w:rsidR="00A94922" w:rsidRPr="00763470" w:rsidRDefault="00A94922" w:rsidP="00763470">
    <w:pPr>
      <w:pStyle w:val="Zpat"/>
      <w:rPr>
        <w:caps/>
      </w:rPr>
    </w:pPr>
    <w:r w:rsidRPr="00763470">
      <w:rPr>
        <w:i/>
        <w:caps/>
      </w:rPr>
      <w:tab/>
    </w:r>
    <w:r w:rsidRPr="00763470">
      <w:rPr>
        <w:i/>
        <w:caps/>
      </w:rPr>
      <w:tab/>
      <w:t xml:space="preserve">     </w:t>
    </w:r>
    <w:r w:rsidRPr="00763470">
      <w:rPr>
        <w:caps/>
      </w:rPr>
      <w:fldChar w:fldCharType="begin"/>
    </w:r>
    <w:r w:rsidRPr="00763470">
      <w:rPr>
        <w:caps/>
      </w:rPr>
      <w:instrText>PAGE   \* MERGEFORMAT</w:instrText>
    </w:r>
    <w:r w:rsidRPr="00763470">
      <w:rPr>
        <w:caps/>
      </w:rPr>
      <w:fldChar w:fldCharType="separate"/>
    </w:r>
    <w:r w:rsidR="00805DBC">
      <w:rPr>
        <w:caps/>
        <w:noProof/>
      </w:rPr>
      <w:t>1</w:t>
    </w:r>
    <w:r w:rsidRPr="00763470">
      <w:rPr>
        <w:caps/>
      </w:rPr>
      <w:fldChar w:fldCharType="end"/>
    </w:r>
    <w:r w:rsidRPr="00763470">
      <w:rPr>
        <w:caps/>
      </w:rPr>
      <w:tab/>
    </w:r>
    <w:r w:rsidRPr="00763470">
      <w:rPr>
        <w:caps/>
      </w:rPr>
      <w:tab/>
    </w:r>
  </w:p>
  <w:p w14:paraId="730DE41A" w14:textId="77777777" w:rsidR="00A94922" w:rsidRDefault="00A949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57F2E" w14:textId="77777777" w:rsidR="00A94922" w:rsidRDefault="00A94922" w:rsidP="00A37F4E">
      <w:pPr>
        <w:spacing w:after="0"/>
      </w:pPr>
      <w:r>
        <w:separator/>
      </w:r>
    </w:p>
  </w:footnote>
  <w:footnote w:type="continuationSeparator" w:id="0">
    <w:p w14:paraId="24759F6B" w14:textId="77777777" w:rsidR="00A94922" w:rsidRDefault="00A94922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A94922" w:rsidRDefault="00A94922" w:rsidP="00A37F4E">
    <w:pPr>
      <w:pStyle w:val="Zhlav"/>
    </w:pPr>
  </w:p>
  <w:p w14:paraId="3624FFA4" w14:textId="77777777" w:rsidR="00A94922" w:rsidRDefault="00A94922" w:rsidP="00A37F4E">
    <w:pPr>
      <w:pStyle w:val="Zhlav"/>
    </w:pPr>
  </w:p>
  <w:p w14:paraId="447009F9" w14:textId="77777777" w:rsidR="00A94922" w:rsidRDefault="00A94922" w:rsidP="00A37F4E">
    <w:pPr>
      <w:pStyle w:val="Zhlav"/>
    </w:pPr>
  </w:p>
  <w:p w14:paraId="191DDD4B" w14:textId="76F4C170" w:rsidR="00A94922" w:rsidRPr="002212B9" w:rsidRDefault="00A94922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A94922" w:rsidRDefault="00A94922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A94922" w:rsidRDefault="00A94922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7777777" w:rsidR="00A94922" w:rsidRDefault="00A94922" w:rsidP="00B210C8">
    <w:pPr>
      <w:pStyle w:val="Zhlav"/>
      <w:tabs>
        <w:tab w:val="clear" w:pos="4536"/>
        <w:tab w:val="clear" w:pos="9072"/>
        <w:tab w:val="left" w:pos="3555"/>
      </w:tabs>
    </w:pPr>
  </w:p>
  <w:p w14:paraId="688DCCAB" w14:textId="3BA19D9E" w:rsidR="00A94922" w:rsidRDefault="00A94922" w:rsidP="00B210C8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5F86AD33" w14:textId="77777777" w:rsidR="00A94922" w:rsidRDefault="00A94922" w:rsidP="00B210C8">
    <w:pPr>
      <w:pStyle w:val="Zhlav"/>
      <w:tabs>
        <w:tab w:val="clear" w:pos="4536"/>
        <w:tab w:val="clear" w:pos="9072"/>
        <w:tab w:val="left" w:pos="35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637"/>
    <w:multiLevelType w:val="multilevel"/>
    <w:tmpl w:val="DEE6A730"/>
    <w:name w:val="nnn2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15708D"/>
    <w:multiLevelType w:val="hybridMultilevel"/>
    <w:tmpl w:val="F62C77D0"/>
    <w:lvl w:ilvl="0" w:tplc="E78ED6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63343"/>
    <w:multiLevelType w:val="hybridMultilevel"/>
    <w:tmpl w:val="BC429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5598"/>
    <w:multiLevelType w:val="multilevel"/>
    <w:tmpl w:val="B840DE02"/>
    <w:name w:val="nnn2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C6361F7"/>
    <w:multiLevelType w:val="multilevel"/>
    <w:tmpl w:val="1AE2B14E"/>
    <w:name w:val="nnn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%1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1FF185E"/>
    <w:multiLevelType w:val="hybridMultilevel"/>
    <w:tmpl w:val="17183DBE"/>
    <w:lvl w:ilvl="0" w:tplc="2F40FC56">
      <w:start w:val="1"/>
      <w:numFmt w:val="lowerLetter"/>
      <w:lvlText w:val="%1)"/>
      <w:lvlJc w:val="left"/>
      <w:pPr>
        <w:ind w:left="502" w:hanging="360"/>
      </w:pPr>
      <w:rPr>
        <w:rFonts w:ascii="Calibri" w:hAnsi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7501C"/>
    <w:multiLevelType w:val="hybridMultilevel"/>
    <w:tmpl w:val="20DE6C8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3544A48"/>
    <w:multiLevelType w:val="multilevel"/>
    <w:tmpl w:val="D5FE0FFA"/>
    <w:name w:val="nnn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0A2CF7"/>
    <w:multiLevelType w:val="hybridMultilevel"/>
    <w:tmpl w:val="A170CB6A"/>
    <w:name w:val="nnn22"/>
    <w:lvl w:ilvl="0" w:tplc="21FC463E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345CA"/>
    <w:multiLevelType w:val="hybridMultilevel"/>
    <w:tmpl w:val="49FCB5A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4595CA3"/>
    <w:multiLevelType w:val="hybridMultilevel"/>
    <w:tmpl w:val="21F29022"/>
    <w:lvl w:ilvl="0" w:tplc="D2CEAA84">
      <w:start w:val="1"/>
      <w:numFmt w:val="lowerLetter"/>
      <w:lvlText w:val="%1)"/>
      <w:lvlJc w:val="left"/>
      <w:pPr>
        <w:ind w:left="1287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711165B"/>
    <w:multiLevelType w:val="hybridMultilevel"/>
    <w:tmpl w:val="991C5E7C"/>
    <w:name w:val="nnn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C7E82"/>
    <w:multiLevelType w:val="hybridMultilevel"/>
    <w:tmpl w:val="33D84188"/>
    <w:name w:val="nnn2222"/>
    <w:lvl w:ilvl="0" w:tplc="95928B6E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A1A46"/>
    <w:multiLevelType w:val="multilevel"/>
    <w:tmpl w:val="722A10B6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 w:hint="default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 w:hint="default"/>
        <w:b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 w:hint="default"/>
      </w:rPr>
    </w:lvl>
  </w:abstractNum>
  <w:abstractNum w:abstractNumId="15" w15:restartNumberingAfterBreak="0">
    <w:nsid w:val="58D82AB6"/>
    <w:multiLevelType w:val="hybridMultilevel"/>
    <w:tmpl w:val="AAF4FFC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9E0992"/>
    <w:multiLevelType w:val="hybridMultilevel"/>
    <w:tmpl w:val="084EF9E0"/>
    <w:lvl w:ilvl="0" w:tplc="B6CEA254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18D281B"/>
    <w:multiLevelType w:val="hybridMultilevel"/>
    <w:tmpl w:val="945CFB6A"/>
    <w:lvl w:ilvl="0" w:tplc="4CEE9AD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6F125ABE"/>
    <w:multiLevelType w:val="hybridMultilevel"/>
    <w:tmpl w:val="ECCC047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78022A8C"/>
    <w:multiLevelType w:val="hybridMultilevel"/>
    <w:tmpl w:val="D05CFF6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3"/>
  </w:num>
  <w:num w:numId="5">
    <w:abstractNumId w:val="15"/>
  </w:num>
  <w:num w:numId="6">
    <w:abstractNumId w:val="11"/>
  </w:num>
  <w:num w:numId="7">
    <w:abstractNumId w:val="16"/>
  </w:num>
  <w:num w:numId="8">
    <w:abstractNumId w:val="6"/>
  </w:num>
  <w:num w:numId="9">
    <w:abstractNumId w:val="19"/>
  </w:num>
  <w:num w:numId="10">
    <w:abstractNumId w:val="7"/>
  </w:num>
  <w:num w:numId="11">
    <w:abstractNumId w:val="20"/>
  </w:num>
  <w:num w:numId="12">
    <w:abstractNumId w:val="4"/>
  </w:num>
  <w:num w:numId="13">
    <w:abstractNumId w:val="13"/>
  </w:num>
  <w:num w:numId="14">
    <w:abstractNumId w:val="12"/>
  </w:num>
  <w:num w:numId="15">
    <w:abstractNumId w:val="2"/>
  </w:num>
  <w:num w:numId="16">
    <w:abstractNumId w:val="1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01322"/>
    <w:rsid w:val="00007CD6"/>
    <w:rsid w:val="00020295"/>
    <w:rsid w:val="00022E10"/>
    <w:rsid w:val="000243DD"/>
    <w:rsid w:val="00024831"/>
    <w:rsid w:val="00025274"/>
    <w:rsid w:val="00025EAE"/>
    <w:rsid w:val="00026C16"/>
    <w:rsid w:val="000340B2"/>
    <w:rsid w:val="00043E7C"/>
    <w:rsid w:val="00053A96"/>
    <w:rsid w:val="00054199"/>
    <w:rsid w:val="00063D53"/>
    <w:rsid w:val="000677E7"/>
    <w:rsid w:val="000730DA"/>
    <w:rsid w:val="0007613A"/>
    <w:rsid w:val="000763A8"/>
    <w:rsid w:val="000767FE"/>
    <w:rsid w:val="00085DF1"/>
    <w:rsid w:val="00090050"/>
    <w:rsid w:val="000927EC"/>
    <w:rsid w:val="000A0992"/>
    <w:rsid w:val="000A3E75"/>
    <w:rsid w:val="000A3F34"/>
    <w:rsid w:val="000B1020"/>
    <w:rsid w:val="000B51B5"/>
    <w:rsid w:val="000B72E7"/>
    <w:rsid w:val="000B731F"/>
    <w:rsid w:val="000C0B93"/>
    <w:rsid w:val="000C4DB2"/>
    <w:rsid w:val="000C5F56"/>
    <w:rsid w:val="000D6655"/>
    <w:rsid w:val="000E0F3F"/>
    <w:rsid w:val="000E3474"/>
    <w:rsid w:val="000E373F"/>
    <w:rsid w:val="000E59C8"/>
    <w:rsid w:val="000E6EBD"/>
    <w:rsid w:val="000F4257"/>
    <w:rsid w:val="000F53DD"/>
    <w:rsid w:val="001028C2"/>
    <w:rsid w:val="00105D25"/>
    <w:rsid w:val="00105E53"/>
    <w:rsid w:val="001068E9"/>
    <w:rsid w:val="00107E73"/>
    <w:rsid w:val="0011196F"/>
    <w:rsid w:val="0011470E"/>
    <w:rsid w:val="00120318"/>
    <w:rsid w:val="00120B2B"/>
    <w:rsid w:val="001238B0"/>
    <w:rsid w:val="001311CF"/>
    <w:rsid w:val="00137F2F"/>
    <w:rsid w:val="00141C9E"/>
    <w:rsid w:val="001440DB"/>
    <w:rsid w:val="001473EE"/>
    <w:rsid w:val="00152C2E"/>
    <w:rsid w:val="001530E5"/>
    <w:rsid w:val="0015368D"/>
    <w:rsid w:val="00155C44"/>
    <w:rsid w:val="0015638C"/>
    <w:rsid w:val="001702BD"/>
    <w:rsid w:val="001703C7"/>
    <w:rsid w:val="001719D3"/>
    <w:rsid w:val="001739E0"/>
    <w:rsid w:val="00174694"/>
    <w:rsid w:val="00174C27"/>
    <w:rsid w:val="001771FF"/>
    <w:rsid w:val="00180C43"/>
    <w:rsid w:val="00184BBC"/>
    <w:rsid w:val="001856D6"/>
    <w:rsid w:val="0018663E"/>
    <w:rsid w:val="00194C10"/>
    <w:rsid w:val="001B0309"/>
    <w:rsid w:val="001B40A4"/>
    <w:rsid w:val="001C3958"/>
    <w:rsid w:val="001C518A"/>
    <w:rsid w:val="001D009D"/>
    <w:rsid w:val="001D30E3"/>
    <w:rsid w:val="001D3F63"/>
    <w:rsid w:val="001D6755"/>
    <w:rsid w:val="001E04E3"/>
    <w:rsid w:val="001E298F"/>
    <w:rsid w:val="001F29E4"/>
    <w:rsid w:val="001F29F8"/>
    <w:rsid w:val="00200774"/>
    <w:rsid w:val="00202CA7"/>
    <w:rsid w:val="00204168"/>
    <w:rsid w:val="00212FFC"/>
    <w:rsid w:val="0021454B"/>
    <w:rsid w:val="00216C70"/>
    <w:rsid w:val="00217CF6"/>
    <w:rsid w:val="00220000"/>
    <w:rsid w:val="002212B9"/>
    <w:rsid w:val="00222412"/>
    <w:rsid w:val="002365D3"/>
    <w:rsid w:val="002554C9"/>
    <w:rsid w:val="0025659B"/>
    <w:rsid w:val="00261416"/>
    <w:rsid w:val="00267921"/>
    <w:rsid w:val="002709AD"/>
    <w:rsid w:val="00285D79"/>
    <w:rsid w:val="00290CB1"/>
    <w:rsid w:val="0029760B"/>
    <w:rsid w:val="002A1DB3"/>
    <w:rsid w:val="002A3B9A"/>
    <w:rsid w:val="002B7A36"/>
    <w:rsid w:val="002B7FB8"/>
    <w:rsid w:val="002C2E16"/>
    <w:rsid w:val="002C3095"/>
    <w:rsid w:val="002C5F82"/>
    <w:rsid w:val="002C723A"/>
    <w:rsid w:val="002E1732"/>
    <w:rsid w:val="002E783F"/>
    <w:rsid w:val="002F025E"/>
    <w:rsid w:val="002F79CF"/>
    <w:rsid w:val="00303E4A"/>
    <w:rsid w:val="00306A55"/>
    <w:rsid w:val="003114A2"/>
    <w:rsid w:val="00311ABB"/>
    <w:rsid w:val="00314E08"/>
    <w:rsid w:val="003164C3"/>
    <w:rsid w:val="0032259A"/>
    <w:rsid w:val="00324C72"/>
    <w:rsid w:val="00333090"/>
    <w:rsid w:val="00334634"/>
    <w:rsid w:val="0033598E"/>
    <w:rsid w:val="00336F77"/>
    <w:rsid w:val="00341A6E"/>
    <w:rsid w:val="003434A8"/>
    <w:rsid w:val="00345C9B"/>
    <w:rsid w:val="00345D5F"/>
    <w:rsid w:val="00346FEC"/>
    <w:rsid w:val="00353E5D"/>
    <w:rsid w:val="003626FB"/>
    <w:rsid w:val="003674FC"/>
    <w:rsid w:val="00370894"/>
    <w:rsid w:val="00370981"/>
    <w:rsid w:val="00372740"/>
    <w:rsid w:val="0037275F"/>
    <w:rsid w:val="00372C27"/>
    <w:rsid w:val="003754E9"/>
    <w:rsid w:val="003964B1"/>
    <w:rsid w:val="003A176D"/>
    <w:rsid w:val="003A25A3"/>
    <w:rsid w:val="003A3A31"/>
    <w:rsid w:val="003A6C3E"/>
    <w:rsid w:val="003B7799"/>
    <w:rsid w:val="003C03A7"/>
    <w:rsid w:val="003C2255"/>
    <w:rsid w:val="003C2B22"/>
    <w:rsid w:val="003C4E6C"/>
    <w:rsid w:val="003C77AB"/>
    <w:rsid w:val="003D51EB"/>
    <w:rsid w:val="003E73E5"/>
    <w:rsid w:val="003F1DD3"/>
    <w:rsid w:val="003F6828"/>
    <w:rsid w:val="003F7F46"/>
    <w:rsid w:val="00402C70"/>
    <w:rsid w:val="0041349C"/>
    <w:rsid w:val="00413556"/>
    <w:rsid w:val="0041606A"/>
    <w:rsid w:val="004174F1"/>
    <w:rsid w:val="004214BA"/>
    <w:rsid w:val="0042348B"/>
    <w:rsid w:val="00431971"/>
    <w:rsid w:val="00436786"/>
    <w:rsid w:val="00436FA2"/>
    <w:rsid w:val="0043736D"/>
    <w:rsid w:val="004422D4"/>
    <w:rsid w:val="00442E0E"/>
    <w:rsid w:val="00446B0A"/>
    <w:rsid w:val="00451C75"/>
    <w:rsid w:val="00452AF9"/>
    <w:rsid w:val="0045331A"/>
    <w:rsid w:val="00453D81"/>
    <w:rsid w:val="00453FCB"/>
    <w:rsid w:val="00457FF5"/>
    <w:rsid w:val="004604FE"/>
    <w:rsid w:val="00461AEE"/>
    <w:rsid w:val="00483654"/>
    <w:rsid w:val="00483725"/>
    <w:rsid w:val="00487330"/>
    <w:rsid w:val="0049064A"/>
    <w:rsid w:val="00493EEE"/>
    <w:rsid w:val="0049446A"/>
    <w:rsid w:val="0049586D"/>
    <w:rsid w:val="004A51C4"/>
    <w:rsid w:val="004A66F1"/>
    <w:rsid w:val="004B02D7"/>
    <w:rsid w:val="004B03CF"/>
    <w:rsid w:val="004B0A06"/>
    <w:rsid w:val="004B2B4E"/>
    <w:rsid w:val="004B4F46"/>
    <w:rsid w:val="004C5B08"/>
    <w:rsid w:val="004C676F"/>
    <w:rsid w:val="004D0AC7"/>
    <w:rsid w:val="004D3032"/>
    <w:rsid w:val="004D4E2F"/>
    <w:rsid w:val="004D5CC7"/>
    <w:rsid w:val="004E0BD3"/>
    <w:rsid w:val="004E107F"/>
    <w:rsid w:val="004E644E"/>
    <w:rsid w:val="005057C7"/>
    <w:rsid w:val="0051514D"/>
    <w:rsid w:val="00516E1D"/>
    <w:rsid w:val="00522BB2"/>
    <w:rsid w:val="00522FFF"/>
    <w:rsid w:val="00531E92"/>
    <w:rsid w:val="00532316"/>
    <w:rsid w:val="005340CF"/>
    <w:rsid w:val="00541845"/>
    <w:rsid w:val="00541D0F"/>
    <w:rsid w:val="0054672E"/>
    <w:rsid w:val="00547512"/>
    <w:rsid w:val="00553BEE"/>
    <w:rsid w:val="00553FCC"/>
    <w:rsid w:val="005543F4"/>
    <w:rsid w:val="005560FF"/>
    <w:rsid w:val="00563455"/>
    <w:rsid w:val="00564733"/>
    <w:rsid w:val="0057253C"/>
    <w:rsid w:val="00572EF6"/>
    <w:rsid w:val="00574E1C"/>
    <w:rsid w:val="005757C7"/>
    <w:rsid w:val="00575B5E"/>
    <w:rsid w:val="005851BE"/>
    <w:rsid w:val="00586712"/>
    <w:rsid w:val="00594942"/>
    <w:rsid w:val="005968DA"/>
    <w:rsid w:val="005A5925"/>
    <w:rsid w:val="005A6781"/>
    <w:rsid w:val="005B10E4"/>
    <w:rsid w:val="005B23D2"/>
    <w:rsid w:val="005B37FA"/>
    <w:rsid w:val="005B3DC2"/>
    <w:rsid w:val="005B4EDE"/>
    <w:rsid w:val="005B734B"/>
    <w:rsid w:val="005C4E80"/>
    <w:rsid w:val="005D018B"/>
    <w:rsid w:val="005D723B"/>
    <w:rsid w:val="005E48AB"/>
    <w:rsid w:val="005E4B20"/>
    <w:rsid w:val="005E5BA0"/>
    <w:rsid w:val="005E729C"/>
    <w:rsid w:val="005F04C6"/>
    <w:rsid w:val="005F46B5"/>
    <w:rsid w:val="005F4DCA"/>
    <w:rsid w:val="00604C17"/>
    <w:rsid w:val="00611EF4"/>
    <w:rsid w:val="006130F2"/>
    <w:rsid w:val="0062503D"/>
    <w:rsid w:val="0064024C"/>
    <w:rsid w:val="00640268"/>
    <w:rsid w:val="00641B33"/>
    <w:rsid w:val="006476D6"/>
    <w:rsid w:val="00653509"/>
    <w:rsid w:val="00653848"/>
    <w:rsid w:val="00654C66"/>
    <w:rsid w:val="00655681"/>
    <w:rsid w:val="00660031"/>
    <w:rsid w:val="00663EC0"/>
    <w:rsid w:val="00665E71"/>
    <w:rsid w:val="00667F05"/>
    <w:rsid w:val="00670E5B"/>
    <w:rsid w:val="0067648B"/>
    <w:rsid w:val="006779E9"/>
    <w:rsid w:val="0068127D"/>
    <w:rsid w:val="006812E4"/>
    <w:rsid w:val="006833E7"/>
    <w:rsid w:val="006859B7"/>
    <w:rsid w:val="00686925"/>
    <w:rsid w:val="00687615"/>
    <w:rsid w:val="006904CC"/>
    <w:rsid w:val="0069056A"/>
    <w:rsid w:val="00693E6F"/>
    <w:rsid w:val="00697FA4"/>
    <w:rsid w:val="006A0A22"/>
    <w:rsid w:val="006A1585"/>
    <w:rsid w:val="006A3F14"/>
    <w:rsid w:val="006A5EA3"/>
    <w:rsid w:val="006B1CD3"/>
    <w:rsid w:val="006B2D73"/>
    <w:rsid w:val="006C3015"/>
    <w:rsid w:val="006C44D8"/>
    <w:rsid w:val="006C493F"/>
    <w:rsid w:val="006C4D46"/>
    <w:rsid w:val="006C7318"/>
    <w:rsid w:val="006C7581"/>
    <w:rsid w:val="006D01B3"/>
    <w:rsid w:val="006D5C09"/>
    <w:rsid w:val="006E1149"/>
    <w:rsid w:val="006E1E73"/>
    <w:rsid w:val="006E6FA2"/>
    <w:rsid w:val="006F11F5"/>
    <w:rsid w:val="006F18B9"/>
    <w:rsid w:val="006F1CA2"/>
    <w:rsid w:val="006F6E24"/>
    <w:rsid w:val="00704706"/>
    <w:rsid w:val="007055BA"/>
    <w:rsid w:val="00705868"/>
    <w:rsid w:val="00705BDC"/>
    <w:rsid w:val="00706032"/>
    <w:rsid w:val="00706B37"/>
    <w:rsid w:val="0070717B"/>
    <w:rsid w:val="007134F9"/>
    <w:rsid w:val="00720698"/>
    <w:rsid w:val="00721A97"/>
    <w:rsid w:val="007225A6"/>
    <w:rsid w:val="007249DE"/>
    <w:rsid w:val="007317AB"/>
    <w:rsid w:val="00734123"/>
    <w:rsid w:val="00736309"/>
    <w:rsid w:val="00740B60"/>
    <w:rsid w:val="007413E3"/>
    <w:rsid w:val="00752876"/>
    <w:rsid w:val="007543AA"/>
    <w:rsid w:val="00754C5D"/>
    <w:rsid w:val="0075774D"/>
    <w:rsid w:val="00757BCC"/>
    <w:rsid w:val="007613C2"/>
    <w:rsid w:val="00763470"/>
    <w:rsid w:val="007718EE"/>
    <w:rsid w:val="00772C43"/>
    <w:rsid w:val="00773408"/>
    <w:rsid w:val="0077544C"/>
    <w:rsid w:val="00782BB0"/>
    <w:rsid w:val="00784DD8"/>
    <w:rsid w:val="007877D7"/>
    <w:rsid w:val="0079410F"/>
    <w:rsid w:val="00795769"/>
    <w:rsid w:val="00797733"/>
    <w:rsid w:val="007A38CB"/>
    <w:rsid w:val="007A5C39"/>
    <w:rsid w:val="007B1EEE"/>
    <w:rsid w:val="007B4C59"/>
    <w:rsid w:val="007C135B"/>
    <w:rsid w:val="007C1DC4"/>
    <w:rsid w:val="007C33BC"/>
    <w:rsid w:val="007C4142"/>
    <w:rsid w:val="007C7856"/>
    <w:rsid w:val="007D3FED"/>
    <w:rsid w:val="007D59EA"/>
    <w:rsid w:val="007E1B99"/>
    <w:rsid w:val="007E2CB4"/>
    <w:rsid w:val="007F055E"/>
    <w:rsid w:val="007F3700"/>
    <w:rsid w:val="007F460E"/>
    <w:rsid w:val="00805DBC"/>
    <w:rsid w:val="00806878"/>
    <w:rsid w:val="008143FC"/>
    <w:rsid w:val="008154C6"/>
    <w:rsid w:val="0082034D"/>
    <w:rsid w:val="008240E3"/>
    <w:rsid w:val="0082449F"/>
    <w:rsid w:val="0083410B"/>
    <w:rsid w:val="00835CD4"/>
    <w:rsid w:val="00847B9B"/>
    <w:rsid w:val="00853B9F"/>
    <w:rsid w:val="00853E6E"/>
    <w:rsid w:val="00855A18"/>
    <w:rsid w:val="00860586"/>
    <w:rsid w:val="008664A4"/>
    <w:rsid w:val="00870AD4"/>
    <w:rsid w:val="0087599C"/>
    <w:rsid w:val="00885F16"/>
    <w:rsid w:val="00886EAD"/>
    <w:rsid w:val="00896251"/>
    <w:rsid w:val="008976B6"/>
    <w:rsid w:val="008A128C"/>
    <w:rsid w:val="008A5A3A"/>
    <w:rsid w:val="008A6E9D"/>
    <w:rsid w:val="008B503A"/>
    <w:rsid w:val="008B68DE"/>
    <w:rsid w:val="008C2F47"/>
    <w:rsid w:val="008C4315"/>
    <w:rsid w:val="008D374C"/>
    <w:rsid w:val="008D408B"/>
    <w:rsid w:val="008D5386"/>
    <w:rsid w:val="008D5A71"/>
    <w:rsid w:val="008E11C8"/>
    <w:rsid w:val="008F432D"/>
    <w:rsid w:val="008F45FD"/>
    <w:rsid w:val="008F69C3"/>
    <w:rsid w:val="00912042"/>
    <w:rsid w:val="0091443A"/>
    <w:rsid w:val="009219E9"/>
    <w:rsid w:val="00924574"/>
    <w:rsid w:val="00924626"/>
    <w:rsid w:val="00926A1E"/>
    <w:rsid w:val="00934816"/>
    <w:rsid w:val="00942A31"/>
    <w:rsid w:val="00950AF5"/>
    <w:rsid w:val="009533CE"/>
    <w:rsid w:val="009544A2"/>
    <w:rsid w:val="0096129F"/>
    <w:rsid w:val="0097157E"/>
    <w:rsid w:val="00991E33"/>
    <w:rsid w:val="009938F8"/>
    <w:rsid w:val="00994264"/>
    <w:rsid w:val="009A4F99"/>
    <w:rsid w:val="009A66B6"/>
    <w:rsid w:val="009A71A9"/>
    <w:rsid w:val="009B00AB"/>
    <w:rsid w:val="009B0569"/>
    <w:rsid w:val="009B0E1D"/>
    <w:rsid w:val="009B7F1E"/>
    <w:rsid w:val="009C0A8F"/>
    <w:rsid w:val="009C256F"/>
    <w:rsid w:val="009C31E1"/>
    <w:rsid w:val="009C3DBE"/>
    <w:rsid w:val="009C615A"/>
    <w:rsid w:val="009C64BE"/>
    <w:rsid w:val="009D057D"/>
    <w:rsid w:val="009D39D9"/>
    <w:rsid w:val="009D72D9"/>
    <w:rsid w:val="009E4461"/>
    <w:rsid w:val="009E7168"/>
    <w:rsid w:val="009F11EC"/>
    <w:rsid w:val="009F36CC"/>
    <w:rsid w:val="00A013AC"/>
    <w:rsid w:val="00A12904"/>
    <w:rsid w:val="00A15CA2"/>
    <w:rsid w:val="00A16BE3"/>
    <w:rsid w:val="00A2071D"/>
    <w:rsid w:val="00A21C21"/>
    <w:rsid w:val="00A30389"/>
    <w:rsid w:val="00A31A38"/>
    <w:rsid w:val="00A364F0"/>
    <w:rsid w:val="00A37F4E"/>
    <w:rsid w:val="00A413A6"/>
    <w:rsid w:val="00A45DE3"/>
    <w:rsid w:val="00A47954"/>
    <w:rsid w:val="00A6315C"/>
    <w:rsid w:val="00A66E60"/>
    <w:rsid w:val="00A67F8F"/>
    <w:rsid w:val="00A724D7"/>
    <w:rsid w:val="00A774E6"/>
    <w:rsid w:val="00A80E38"/>
    <w:rsid w:val="00A80E43"/>
    <w:rsid w:val="00A84500"/>
    <w:rsid w:val="00A86782"/>
    <w:rsid w:val="00A904B6"/>
    <w:rsid w:val="00A94922"/>
    <w:rsid w:val="00AA63E1"/>
    <w:rsid w:val="00AB5EBA"/>
    <w:rsid w:val="00AC0190"/>
    <w:rsid w:val="00AC3D8C"/>
    <w:rsid w:val="00AD0EDC"/>
    <w:rsid w:val="00AD1757"/>
    <w:rsid w:val="00AD24DF"/>
    <w:rsid w:val="00AD259C"/>
    <w:rsid w:val="00AD3227"/>
    <w:rsid w:val="00AE1CA7"/>
    <w:rsid w:val="00AE39CC"/>
    <w:rsid w:val="00AE49BC"/>
    <w:rsid w:val="00AF0164"/>
    <w:rsid w:val="00AF5407"/>
    <w:rsid w:val="00AF7322"/>
    <w:rsid w:val="00B024F9"/>
    <w:rsid w:val="00B033F8"/>
    <w:rsid w:val="00B06B08"/>
    <w:rsid w:val="00B14FDF"/>
    <w:rsid w:val="00B20527"/>
    <w:rsid w:val="00B210C8"/>
    <w:rsid w:val="00B33BB1"/>
    <w:rsid w:val="00B3430D"/>
    <w:rsid w:val="00B35CFD"/>
    <w:rsid w:val="00B4503C"/>
    <w:rsid w:val="00B533E0"/>
    <w:rsid w:val="00B56043"/>
    <w:rsid w:val="00B72CB8"/>
    <w:rsid w:val="00B82C2C"/>
    <w:rsid w:val="00B8439F"/>
    <w:rsid w:val="00B84618"/>
    <w:rsid w:val="00B87DD6"/>
    <w:rsid w:val="00B93848"/>
    <w:rsid w:val="00B97301"/>
    <w:rsid w:val="00B97EC9"/>
    <w:rsid w:val="00BA040F"/>
    <w:rsid w:val="00BA160A"/>
    <w:rsid w:val="00BA4DDA"/>
    <w:rsid w:val="00BA7226"/>
    <w:rsid w:val="00BB248B"/>
    <w:rsid w:val="00BB3115"/>
    <w:rsid w:val="00BB3E47"/>
    <w:rsid w:val="00BB55C3"/>
    <w:rsid w:val="00BB66EE"/>
    <w:rsid w:val="00BB7964"/>
    <w:rsid w:val="00BC1C28"/>
    <w:rsid w:val="00BC2479"/>
    <w:rsid w:val="00BC4AEE"/>
    <w:rsid w:val="00BC7270"/>
    <w:rsid w:val="00BC7AB3"/>
    <w:rsid w:val="00BD1895"/>
    <w:rsid w:val="00BD508F"/>
    <w:rsid w:val="00BD5369"/>
    <w:rsid w:val="00BE7D9F"/>
    <w:rsid w:val="00BF1C92"/>
    <w:rsid w:val="00BF2BB7"/>
    <w:rsid w:val="00C02CE6"/>
    <w:rsid w:val="00C067CE"/>
    <w:rsid w:val="00C12626"/>
    <w:rsid w:val="00C1390B"/>
    <w:rsid w:val="00C14522"/>
    <w:rsid w:val="00C177CA"/>
    <w:rsid w:val="00C20EE5"/>
    <w:rsid w:val="00C20FBD"/>
    <w:rsid w:val="00C24170"/>
    <w:rsid w:val="00C26516"/>
    <w:rsid w:val="00C268F6"/>
    <w:rsid w:val="00C277B0"/>
    <w:rsid w:val="00C3483A"/>
    <w:rsid w:val="00C557BF"/>
    <w:rsid w:val="00C6320F"/>
    <w:rsid w:val="00C6544A"/>
    <w:rsid w:val="00C721EE"/>
    <w:rsid w:val="00C773AB"/>
    <w:rsid w:val="00C9124D"/>
    <w:rsid w:val="00C916D2"/>
    <w:rsid w:val="00C9422D"/>
    <w:rsid w:val="00CA38C2"/>
    <w:rsid w:val="00CA45F0"/>
    <w:rsid w:val="00CB5AEC"/>
    <w:rsid w:val="00CC4EE5"/>
    <w:rsid w:val="00CC695C"/>
    <w:rsid w:val="00CC7ABF"/>
    <w:rsid w:val="00CD0D62"/>
    <w:rsid w:val="00CD1E05"/>
    <w:rsid w:val="00CD2811"/>
    <w:rsid w:val="00CD5B12"/>
    <w:rsid w:val="00CE32EB"/>
    <w:rsid w:val="00CE3C41"/>
    <w:rsid w:val="00CF0D8C"/>
    <w:rsid w:val="00CF18C3"/>
    <w:rsid w:val="00CF327B"/>
    <w:rsid w:val="00CF4173"/>
    <w:rsid w:val="00D20C49"/>
    <w:rsid w:val="00D21829"/>
    <w:rsid w:val="00D25F2F"/>
    <w:rsid w:val="00D31BA3"/>
    <w:rsid w:val="00D31C69"/>
    <w:rsid w:val="00D35760"/>
    <w:rsid w:val="00D37F80"/>
    <w:rsid w:val="00D415B1"/>
    <w:rsid w:val="00D4689E"/>
    <w:rsid w:val="00D47D10"/>
    <w:rsid w:val="00D517A4"/>
    <w:rsid w:val="00D52EDB"/>
    <w:rsid w:val="00D55421"/>
    <w:rsid w:val="00D55F31"/>
    <w:rsid w:val="00D60E0C"/>
    <w:rsid w:val="00D6389E"/>
    <w:rsid w:val="00D67305"/>
    <w:rsid w:val="00D73AA0"/>
    <w:rsid w:val="00D73C60"/>
    <w:rsid w:val="00D7574C"/>
    <w:rsid w:val="00D75E66"/>
    <w:rsid w:val="00D815EF"/>
    <w:rsid w:val="00D90C26"/>
    <w:rsid w:val="00D929F8"/>
    <w:rsid w:val="00DA1D4F"/>
    <w:rsid w:val="00DA226E"/>
    <w:rsid w:val="00DA5C37"/>
    <w:rsid w:val="00DA6733"/>
    <w:rsid w:val="00DB1102"/>
    <w:rsid w:val="00DB345E"/>
    <w:rsid w:val="00DB56B5"/>
    <w:rsid w:val="00DC2F40"/>
    <w:rsid w:val="00DD153D"/>
    <w:rsid w:val="00DD324F"/>
    <w:rsid w:val="00DD4A3C"/>
    <w:rsid w:val="00DE6378"/>
    <w:rsid w:val="00DF29A1"/>
    <w:rsid w:val="00E01759"/>
    <w:rsid w:val="00E04CB1"/>
    <w:rsid w:val="00E113C7"/>
    <w:rsid w:val="00E124A9"/>
    <w:rsid w:val="00E13021"/>
    <w:rsid w:val="00E140EE"/>
    <w:rsid w:val="00E17FE0"/>
    <w:rsid w:val="00E205BF"/>
    <w:rsid w:val="00E20648"/>
    <w:rsid w:val="00E262F6"/>
    <w:rsid w:val="00E33D3F"/>
    <w:rsid w:val="00E3757E"/>
    <w:rsid w:val="00E53318"/>
    <w:rsid w:val="00E553A0"/>
    <w:rsid w:val="00E56AC1"/>
    <w:rsid w:val="00E56F9E"/>
    <w:rsid w:val="00E6251B"/>
    <w:rsid w:val="00E716A1"/>
    <w:rsid w:val="00E71864"/>
    <w:rsid w:val="00E767DB"/>
    <w:rsid w:val="00E77835"/>
    <w:rsid w:val="00E77C6C"/>
    <w:rsid w:val="00E919EC"/>
    <w:rsid w:val="00E94AE7"/>
    <w:rsid w:val="00E94EA9"/>
    <w:rsid w:val="00EB1D66"/>
    <w:rsid w:val="00EB59AC"/>
    <w:rsid w:val="00EC0D38"/>
    <w:rsid w:val="00EC0EE2"/>
    <w:rsid w:val="00ED7F33"/>
    <w:rsid w:val="00EE4953"/>
    <w:rsid w:val="00EE4CB8"/>
    <w:rsid w:val="00EE557A"/>
    <w:rsid w:val="00EF0AF3"/>
    <w:rsid w:val="00EF0BE9"/>
    <w:rsid w:val="00EF14FC"/>
    <w:rsid w:val="00EF428F"/>
    <w:rsid w:val="00EF65CC"/>
    <w:rsid w:val="00F102CA"/>
    <w:rsid w:val="00F10ACA"/>
    <w:rsid w:val="00F13CF7"/>
    <w:rsid w:val="00F14195"/>
    <w:rsid w:val="00F17587"/>
    <w:rsid w:val="00F2003E"/>
    <w:rsid w:val="00F2017A"/>
    <w:rsid w:val="00F24B11"/>
    <w:rsid w:val="00F24B64"/>
    <w:rsid w:val="00F314DF"/>
    <w:rsid w:val="00F32240"/>
    <w:rsid w:val="00F3468B"/>
    <w:rsid w:val="00F34CA7"/>
    <w:rsid w:val="00F3591A"/>
    <w:rsid w:val="00F3632E"/>
    <w:rsid w:val="00F42558"/>
    <w:rsid w:val="00F52C8E"/>
    <w:rsid w:val="00F55E4C"/>
    <w:rsid w:val="00F72870"/>
    <w:rsid w:val="00F75A44"/>
    <w:rsid w:val="00F77760"/>
    <w:rsid w:val="00F93DE0"/>
    <w:rsid w:val="00F9403F"/>
    <w:rsid w:val="00FA28E8"/>
    <w:rsid w:val="00FA4336"/>
    <w:rsid w:val="00FA618E"/>
    <w:rsid w:val="00FB099C"/>
    <w:rsid w:val="00FB42B1"/>
    <w:rsid w:val="00FB5185"/>
    <w:rsid w:val="00FB783F"/>
    <w:rsid w:val="00FC3C49"/>
    <w:rsid w:val="00FD1779"/>
    <w:rsid w:val="00FD41F0"/>
    <w:rsid w:val="00FE2011"/>
    <w:rsid w:val="00FE37F1"/>
    <w:rsid w:val="00FF07D1"/>
    <w:rsid w:val="00FF1819"/>
    <w:rsid w:val="00FF7F11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F6EA78A"/>
  <w15:chartTrackingRefBased/>
  <w15:docId w15:val="{085E6E91-82D5-4418-9FB0-7DB96BD2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64A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63455"/>
    <w:pPr>
      <w:keepNext/>
      <w:keepLines/>
      <w:numPr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A94922"/>
    <w:pPr>
      <w:keepNext/>
      <w:numPr>
        <w:ilvl w:val="1"/>
        <w:numId w:val="12"/>
      </w:numPr>
      <w:spacing w:before="240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3455"/>
    <w:pPr>
      <w:keepNext/>
      <w:keepLines/>
      <w:numPr>
        <w:numId w:val="13"/>
      </w:numPr>
      <w:spacing w:before="40" w:after="0"/>
      <w:outlineLvl w:val="2"/>
    </w:pPr>
    <w:rPr>
      <w:rFonts w:eastAsiaTheme="majorEastAsia" w:cstheme="majorBidi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63455"/>
    <w:rPr>
      <w:rFonts w:ascii="Calibri" w:eastAsiaTheme="majorEastAsia" w:hAnsi="Calibri" w:cstheme="majorBidi"/>
      <w:b/>
      <w:sz w:val="28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A94922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3455"/>
    <w:rPr>
      <w:rFonts w:ascii="Calibri" w:eastAsiaTheme="majorEastAsia" w:hAnsi="Calibri" w:cstheme="majorBidi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C2E16"/>
    <w:pPr>
      <w:tabs>
        <w:tab w:val="left" w:pos="440"/>
        <w:tab w:val="right" w:leader="dot" w:pos="9854"/>
      </w:tabs>
      <w:spacing w:after="0"/>
    </w:pPr>
    <w:rPr>
      <w:rFonts w:eastAsiaTheme="majorEastAsia" w:cs="Calibri"/>
      <w:b/>
      <w:noProof/>
      <w:color w:val="000000" w:themeColor="text1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6B1CD3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E113C7"/>
    <w:pPr>
      <w:numPr>
        <w:ilvl w:val="4"/>
        <w:numId w:val="2"/>
      </w:numPr>
      <w:suppressAutoHyphens/>
    </w:pPr>
    <w:rPr>
      <w:rFonts w:ascii="Palatino Linotype" w:eastAsia="Calibri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E113C7"/>
    <w:pPr>
      <w:numPr>
        <w:ilvl w:val="5"/>
      </w:numPr>
    </w:pPr>
  </w:style>
  <w:style w:type="paragraph" w:customStyle="1" w:styleId="PFI-msk">
    <w:name w:val="PFI-římské"/>
    <w:basedOn w:val="PFI-pismeno"/>
    <w:rsid w:val="00E113C7"/>
    <w:pPr>
      <w:numPr>
        <w:ilvl w:val="6"/>
      </w:numPr>
    </w:pPr>
  </w:style>
  <w:style w:type="table" w:customStyle="1" w:styleId="Mkatabulky2">
    <w:name w:val="Mřížka tabulky2"/>
    <w:basedOn w:val="Normlntabulka"/>
    <w:next w:val="Mkatabulky"/>
    <w:uiPriority w:val="39"/>
    <w:rsid w:val="00200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E7168"/>
    <w:pPr>
      <w:spacing w:after="0" w:line="240" w:lineRule="auto"/>
    </w:pPr>
    <w:rPr>
      <w:rFonts w:ascii="Calibri" w:hAnsi="Calibri"/>
    </w:rPr>
  </w:style>
  <w:style w:type="character" w:customStyle="1" w:styleId="txt">
    <w:name w:val="txt"/>
    <w:basedOn w:val="Standardnpsmoodstavce"/>
    <w:rsid w:val="008C4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801.html" TargetMode="External"/><Relationship Id="rId13" Type="http://schemas.openxmlformats.org/officeDocument/2006/relationships/hyperlink" Target="https://ezak.cnpk.cz/manual_2/ezak-manual-dodavatele-cdd-pdf" TargetMode="External"/><Relationship Id="rId18" Type="http://schemas.openxmlformats.org/officeDocument/2006/relationships/hyperlink" Target="http://www.cnpk.cz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fen.cz/napovedafen/n%C3%A1pov%C4%9Bda-fen/registrace-a-ov%C4%9B%C5%99en%C3%AD-dodavatele" TargetMode="External"/><Relationship Id="rId17" Type="http://schemas.openxmlformats.org/officeDocument/2006/relationships/hyperlink" Target="mailto:podpora@ezak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dpora@fen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en.cz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EN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zak.cnpk.cz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k.cnpk.cz/contract_display_11801.html" TargetMode="External"/><Relationship Id="rId14" Type="http://schemas.openxmlformats.org/officeDocument/2006/relationships/hyperlink" Target="https://www.cnpk.cz/blog/zmena-prihlasovani-do-ezak-pro-dodavatele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E2841-8E13-47DA-B094-531D2E91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5387</Words>
  <Characters>31787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Ladislav Pešička</cp:lastModifiedBy>
  <cp:revision>11</cp:revision>
  <cp:lastPrinted>2025-03-12T11:58:00Z</cp:lastPrinted>
  <dcterms:created xsi:type="dcterms:W3CDTF">2025-02-26T08:35:00Z</dcterms:created>
  <dcterms:modified xsi:type="dcterms:W3CDTF">2025-03-18T11:55:00Z</dcterms:modified>
</cp:coreProperties>
</file>