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6832110B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9C5876">
        <w:rPr>
          <w:rFonts w:ascii="Arial" w:hAnsi="Arial" w:cs="Arial"/>
          <w:b/>
          <w:sz w:val="32"/>
          <w:szCs w:val="32"/>
        </w:rPr>
        <w:t>3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9C5876">
        <w:rPr>
          <w:rFonts w:ascii="Arial" w:hAnsi="Arial" w:cs="Arial"/>
          <w:b/>
          <w:sz w:val="32"/>
          <w:szCs w:val="32"/>
        </w:rPr>
        <w:t>Jih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21A2761A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536343" w:rsidRPr="00536343">
        <w:rPr>
          <w:rFonts w:ascii="Arial" w:hAnsi="Arial" w:cs="Arial"/>
          <w:sz w:val="20"/>
          <w:szCs w:val="20"/>
        </w:rPr>
        <w:t>P21V00000797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gramStart"/>
      <w:r w:rsidRPr="00DA6951">
        <w:rPr>
          <w:rFonts w:ascii="Arial" w:hAnsi="Arial" w:cs="Arial"/>
          <w:b/>
          <w:sz w:val="20"/>
          <w:szCs w:val="20"/>
        </w:rPr>
        <w:t>p</w:t>
      </w:r>
      <w:r w:rsidR="00F13200">
        <w:rPr>
          <w:rFonts w:ascii="Arial" w:hAnsi="Arial" w:cs="Arial"/>
          <w:b/>
          <w:sz w:val="20"/>
          <w:szCs w:val="20"/>
        </w:rPr>
        <w:t>.o.</w:t>
      </w:r>
      <w:proofErr w:type="gramEnd"/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sp.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</w:t>
      </w:r>
      <w:proofErr w:type="spellStart"/>
      <w:r w:rsidR="00C93AAC">
        <w:rPr>
          <w:sz w:val="20"/>
          <w:szCs w:val="20"/>
        </w:rPr>
        <w:t>Koterov</w:t>
      </w:r>
      <w:proofErr w:type="spellEnd"/>
      <w:r w:rsidR="00C93AAC">
        <w:rPr>
          <w:sz w:val="20"/>
          <w:szCs w:val="20"/>
        </w:rPr>
        <w:t>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proofErr w:type="gramStart"/>
      <w:r w:rsidRPr="008E65C2">
        <w:rPr>
          <w:rFonts w:ascii="Arial" w:hAnsi="Arial" w:cs="Arial"/>
          <w:sz w:val="20"/>
          <w:szCs w:val="20"/>
        </w:rPr>
        <w:t>je</w:t>
      </w:r>
      <w:proofErr w:type="gramEnd"/>
      <w:r w:rsidRPr="008E65C2">
        <w:rPr>
          <w:rFonts w:ascii="Arial" w:hAnsi="Arial" w:cs="Arial"/>
          <w:sz w:val="20"/>
          <w:szCs w:val="20"/>
        </w:rPr>
        <w:t xml:space="preserve">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613CA48F" w14:textId="77777777" w:rsidR="002445EB" w:rsidRPr="002445EB" w:rsidRDefault="002445EB" w:rsidP="007A23A9">
      <w:pPr>
        <w:pStyle w:val="Zkladntextodsazen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4/8</w:t>
      </w:r>
      <w:r w:rsidR="00C93AAC">
        <w:rPr>
          <w:rFonts w:ascii="Arial" w:hAnsi="Arial" w:cs="Arial"/>
        </w:rPr>
        <w:t>;</w:t>
      </w:r>
    </w:p>
    <w:p w14:paraId="6E81E2AE" w14:textId="77777777" w:rsidR="002445EB" w:rsidRPr="002445EB" w:rsidRDefault="002445EB" w:rsidP="007A23A9">
      <w:pPr>
        <w:pStyle w:val="Zkladntextodsazen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16/32</w:t>
      </w:r>
      <w:r w:rsidR="00C93AAC">
        <w:rPr>
          <w:rFonts w:ascii="Arial" w:hAnsi="Arial" w:cs="Arial"/>
        </w:rPr>
        <w:t>;</w:t>
      </w:r>
    </w:p>
    <w:p w14:paraId="07E21A29" w14:textId="77777777" w:rsidR="002445EB" w:rsidRPr="002445EB" w:rsidRDefault="002445EB" w:rsidP="007A23A9">
      <w:pPr>
        <w:pStyle w:val="Zkladntextodsazen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32/63</w:t>
      </w:r>
      <w:r w:rsidR="00C93AAC">
        <w:rPr>
          <w:rFonts w:ascii="Arial" w:hAnsi="Arial" w:cs="Arial"/>
        </w:rPr>
        <w:t>;</w:t>
      </w:r>
    </w:p>
    <w:p w14:paraId="08124E92" w14:textId="77777777" w:rsidR="002445EB" w:rsidRPr="002445EB" w:rsidRDefault="002445EB" w:rsidP="007A23A9">
      <w:pPr>
        <w:pStyle w:val="Zkladntextodsazen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63/125</w:t>
      </w:r>
      <w:r w:rsidR="00C93AAC">
        <w:rPr>
          <w:rFonts w:ascii="Arial" w:hAnsi="Arial" w:cs="Arial"/>
        </w:rPr>
        <w:t>.</w:t>
      </w:r>
    </w:p>
    <w:p w14:paraId="415CE8F1" w14:textId="4DBEFF09" w:rsidR="00A310A8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 w:rsidR="002445EB">
        <w:rPr>
          <w:rFonts w:ascii="Arial" w:hAnsi="Arial" w:cs="Arial"/>
          <w:sz w:val="20"/>
        </w:rPr>
        <w:t xml:space="preserve"> dle čl. 2.2.1. písm. a) a b) 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 w:rsidR="0002179E">
        <w:rPr>
          <w:rFonts w:ascii="Arial" w:hAnsi="Arial" w:cs="Arial"/>
          <w:sz w:val="20"/>
        </w:rPr>
        <w:t xml:space="preserve">(frakce </w:t>
      </w:r>
      <w:r w:rsidR="002445EB">
        <w:rPr>
          <w:rFonts w:ascii="Arial" w:hAnsi="Arial" w:cs="Arial"/>
          <w:sz w:val="20"/>
        </w:rPr>
        <w:t xml:space="preserve">4/8) </w:t>
      </w:r>
      <w:r w:rsidR="00220C0C" w:rsidRPr="002445EB">
        <w:rPr>
          <w:rFonts w:ascii="Arial" w:hAnsi="Arial" w:cs="Arial"/>
          <w:sz w:val="20"/>
        </w:rPr>
        <w:t>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1AB89B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proofErr w:type="spellStart"/>
      <w:r w:rsidRPr="00AD50EC">
        <w:rPr>
          <w:rFonts w:ascii="Arial" w:hAnsi="Arial" w:cs="Arial"/>
        </w:rPr>
        <w:t>rychleštěpnou</w:t>
      </w:r>
      <w:proofErr w:type="spellEnd"/>
      <w:r w:rsidR="00F71205">
        <w:rPr>
          <w:rFonts w:ascii="Arial" w:hAnsi="Arial" w:cs="Arial"/>
        </w:rPr>
        <w:t xml:space="preserve"> </w:t>
      </w:r>
      <w:proofErr w:type="spellStart"/>
      <w:r w:rsidRPr="00AD50EC">
        <w:rPr>
          <w:rFonts w:ascii="Arial" w:hAnsi="Arial" w:cs="Arial"/>
        </w:rPr>
        <w:t>kationaktivní</w:t>
      </w:r>
      <w:proofErr w:type="spellEnd"/>
      <w:r w:rsidRPr="00AD50EC">
        <w:rPr>
          <w:rFonts w:ascii="Arial" w:hAnsi="Arial" w:cs="Arial"/>
        </w:rPr>
        <w:t xml:space="preserve"> asfalto</w:t>
      </w:r>
      <w:r w:rsidR="001864C3">
        <w:rPr>
          <w:rFonts w:ascii="Arial" w:hAnsi="Arial" w:cs="Arial"/>
        </w:rPr>
        <w:t>vou emulzí o obsahu 65% asfaltu;</w:t>
      </w:r>
    </w:p>
    <w:p w14:paraId="41A172D0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asfaltové směsi povrchové vrstvy pozemn</w:t>
      </w:r>
      <w:r w:rsidR="001864C3">
        <w:rPr>
          <w:rFonts w:ascii="Arial" w:hAnsi="Arial" w:cs="Arial"/>
        </w:rPr>
        <w:t>ích komunikací dle ČSN EN 13043;</w:t>
      </w:r>
    </w:p>
    <w:p w14:paraId="69BE5BEB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nátěry v souladu s podmínk</w:t>
      </w:r>
      <w:r w:rsidR="001864C3">
        <w:rPr>
          <w:rFonts w:ascii="Arial" w:hAnsi="Arial" w:cs="Arial"/>
        </w:rPr>
        <w:t>ami stanovenými v ČSN EN 12271;</w:t>
      </w:r>
    </w:p>
    <w:p w14:paraId="46D935B7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</w:t>
      </w:r>
      <w:r w:rsidR="001864C3">
        <w:rPr>
          <w:rFonts w:ascii="Arial" w:hAnsi="Arial" w:cs="Arial"/>
        </w:rPr>
        <w:t>dné pro postřiky dle ČSN 736129;</w:t>
      </w:r>
    </w:p>
    <w:p w14:paraId="15EE842D" w14:textId="77777777" w:rsidR="002445EB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4D7C">
        <w:rPr>
          <w:rFonts w:ascii="Arial" w:hAnsi="Arial" w:cs="Arial"/>
        </w:rPr>
        <w:t>musí být vhodné k použití jako zdrsň</w:t>
      </w:r>
      <w:r>
        <w:rPr>
          <w:rFonts w:ascii="Arial" w:hAnsi="Arial" w:cs="Arial"/>
        </w:rPr>
        <w:t>ujíc</w:t>
      </w:r>
      <w:r w:rsidRPr="00F34D7C">
        <w:rPr>
          <w:rFonts w:ascii="Arial" w:hAnsi="Arial" w:cs="Arial"/>
        </w:rPr>
        <w:t xml:space="preserve">í posypový materiál a zejm. odpovídat požadavkům vyhlášky č. 104/1997 Sb. </w:t>
      </w:r>
      <w:r w:rsidRPr="000222F7">
        <w:rPr>
          <w:rFonts w:ascii="Arial" w:hAnsi="Arial" w:cs="Arial"/>
        </w:rPr>
        <w:t>a požadavkům Technických podmínek TP 116, schválených Ministerstvem dopravy</w:t>
      </w:r>
      <w:r w:rsidR="001864C3">
        <w:rPr>
          <w:rFonts w:ascii="Arial" w:hAnsi="Arial" w:cs="Arial"/>
        </w:rPr>
        <w:t>;</w:t>
      </w:r>
    </w:p>
    <w:p w14:paraId="7A516BE4" w14:textId="77777777" w:rsidR="002445EB" w:rsidRPr="000222F7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musí </w:t>
      </w:r>
      <w:r w:rsidRPr="000222F7">
        <w:rPr>
          <w:rFonts w:ascii="Arial" w:hAnsi="Arial" w:cs="Arial"/>
        </w:rPr>
        <w:t>splň</w:t>
      </w:r>
      <w:r>
        <w:rPr>
          <w:rFonts w:ascii="Arial" w:hAnsi="Arial" w:cs="Arial"/>
        </w:rPr>
        <w:t>ovat</w:t>
      </w:r>
      <w:r w:rsidRPr="000222F7">
        <w:rPr>
          <w:rFonts w:ascii="Arial" w:hAnsi="Arial" w:cs="Arial"/>
        </w:rPr>
        <w:t xml:space="preserve"> požadavky TP </w:t>
      </w:r>
      <w:r w:rsidRPr="00996EB0">
        <w:rPr>
          <w:rFonts w:ascii="Arial" w:hAnsi="Arial" w:cs="Arial"/>
        </w:rPr>
        <w:t>116 Příloha 2 – Standard pro zdrsňující posypové materiály – D: Limit škodlivin ve zdrsňujících materiálech</w:t>
      </w:r>
      <w:r w:rsidR="00E35B2B" w:rsidRPr="00996EB0">
        <w:rPr>
          <w:rFonts w:ascii="Arial" w:hAnsi="Arial" w:cs="Arial"/>
        </w:rPr>
        <w:t>.</w:t>
      </w:r>
    </w:p>
    <w:p w14:paraId="20A4F6DA" w14:textId="77777777" w:rsidR="002445EB" w:rsidRPr="002445EB" w:rsidRDefault="002445EB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>
        <w:rPr>
          <w:rFonts w:ascii="Arial" w:hAnsi="Arial" w:cs="Arial"/>
          <w:sz w:val="20"/>
        </w:rPr>
        <w:t xml:space="preserve"> dle čl. 2.2.1. písm. </w:t>
      </w:r>
      <w:r w:rsidR="00A11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115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 xml:space="preserve"> a e) </w:t>
      </w:r>
      <w:r>
        <w:rPr>
          <w:rFonts w:ascii="Arial" w:hAnsi="Arial" w:cs="Arial"/>
          <w:sz w:val="20"/>
        </w:rPr>
        <w:t xml:space="preserve">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(frakce </w:t>
      </w:r>
      <w:r w:rsidR="00A1151E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</w:t>
      </w:r>
      <w:r w:rsidR="00A1151E">
        <w:rPr>
          <w:rFonts w:ascii="Arial" w:hAnsi="Arial" w:cs="Arial"/>
          <w:sz w:val="20"/>
        </w:rPr>
        <w:t>32,</w:t>
      </w:r>
      <w:r>
        <w:rPr>
          <w:rFonts w:ascii="Arial" w:hAnsi="Arial" w:cs="Arial"/>
          <w:sz w:val="20"/>
        </w:rPr>
        <w:t xml:space="preserve"> frakce </w:t>
      </w:r>
      <w:r w:rsidR="00A1151E">
        <w:rPr>
          <w:rFonts w:ascii="Arial" w:hAnsi="Arial" w:cs="Arial"/>
          <w:sz w:val="20"/>
        </w:rPr>
        <w:t>32/63 a frakce 63/125</w:t>
      </w:r>
      <w:r>
        <w:rPr>
          <w:rFonts w:ascii="Arial" w:hAnsi="Arial" w:cs="Arial"/>
          <w:sz w:val="20"/>
        </w:rPr>
        <w:t xml:space="preserve">) </w:t>
      </w:r>
      <w:r w:rsidRPr="002445EB">
        <w:rPr>
          <w:rFonts w:ascii="Arial" w:hAnsi="Arial" w:cs="Arial"/>
          <w:sz w:val="20"/>
        </w:rPr>
        <w:t>bude splňovat následující podmínky:</w:t>
      </w:r>
    </w:p>
    <w:p w14:paraId="739EC7C2" w14:textId="77777777" w:rsidR="007D2ACD" w:rsidRPr="00A310A8" w:rsidRDefault="001864C3" w:rsidP="007A23A9">
      <w:pPr>
        <w:pStyle w:val="Zkladntextodsazen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musí být vhodné pro použití jako stavební materiál</w:t>
      </w:r>
      <w:r w:rsidR="00AC24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547BE5CE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</w:t>
      </w:r>
      <w:proofErr w:type="gramStart"/>
      <w:r w:rsidR="006934F3">
        <w:rPr>
          <w:rFonts w:ascii="Arial" w:hAnsi="Arial" w:cs="Arial"/>
          <w:sz w:val="20"/>
          <w:szCs w:val="20"/>
        </w:rPr>
        <w:t>4.5. této</w:t>
      </w:r>
      <w:proofErr w:type="gramEnd"/>
      <w:r w:rsidR="006934F3">
        <w:rPr>
          <w:rFonts w:ascii="Arial" w:hAnsi="Arial" w:cs="Arial"/>
          <w:sz w:val="20"/>
          <w:szCs w:val="20"/>
        </w:rPr>
        <w:t xml:space="preserve">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</w:t>
      </w:r>
      <w:r w:rsidR="000C3253">
        <w:rPr>
          <w:rFonts w:ascii="Arial" w:hAnsi="Arial" w:cs="Arial"/>
          <w:sz w:val="20"/>
          <w:szCs w:val="20"/>
        </w:rPr>
        <w:lastRenderedPageBreak/>
        <w:t xml:space="preserve">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</w:t>
      </w:r>
      <w:proofErr w:type="gramStart"/>
      <w:r w:rsidR="000C3253">
        <w:rPr>
          <w:rFonts w:ascii="Arial" w:hAnsi="Arial" w:cs="Arial"/>
          <w:sz w:val="20"/>
          <w:szCs w:val="20"/>
        </w:rPr>
        <w:t>3.2. této</w:t>
      </w:r>
      <w:proofErr w:type="gramEnd"/>
      <w:r w:rsidR="000C3253">
        <w:rPr>
          <w:rFonts w:ascii="Arial" w:hAnsi="Arial" w:cs="Arial"/>
          <w:sz w:val="20"/>
          <w:szCs w:val="20"/>
        </w:rPr>
        <w:t xml:space="preserve">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případně konkrétní místo odběru (je-li v čl. </w:t>
      </w:r>
      <w:proofErr w:type="gramStart"/>
      <w:r>
        <w:rPr>
          <w:rFonts w:ascii="Arial" w:hAnsi="Arial" w:cs="Arial"/>
          <w:sz w:val="20"/>
          <w:szCs w:val="20"/>
        </w:rPr>
        <w:t>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této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4784">
        <w:rPr>
          <w:rFonts w:ascii="Arial" w:hAnsi="Arial" w:cs="Arial"/>
          <w:sz w:val="20"/>
          <w:szCs w:val="20"/>
        </w:rPr>
        <w:t>4.5</w:t>
      </w:r>
      <w:proofErr w:type="gramEnd"/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77BC08AA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D4612D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4E36D64A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>doplní konkrétní adresu odběr</w:t>
      </w:r>
      <w:r w:rsidR="00D4612D">
        <w:rPr>
          <w:rFonts w:ascii="Arial" w:hAnsi="Arial" w:cs="Arial"/>
          <w:i/>
          <w:sz w:val="20"/>
          <w:szCs w:val="20"/>
          <w:highlight w:val="yellow"/>
        </w:rPr>
        <w:t>ného místa, vč. GPS souřadnic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proofErr w:type="gramStart"/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>a změna</w:t>
      </w:r>
      <w:proofErr w:type="gramEnd"/>
      <w:r w:rsidRPr="0088651D">
        <w:rPr>
          <w:rFonts w:ascii="Arial" w:hAnsi="Arial" w:cs="Arial"/>
          <w:sz w:val="20"/>
          <w:szCs w:val="20"/>
        </w:rPr>
        <w:t xml:space="preserve">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</w:t>
      </w:r>
      <w:proofErr w:type="gramStart"/>
      <w:r w:rsidR="004E1DF7">
        <w:rPr>
          <w:rFonts w:ascii="Arial" w:hAnsi="Arial" w:cs="Arial"/>
          <w:sz w:val="20"/>
          <w:szCs w:val="20"/>
        </w:rPr>
        <w:t>4.2. této</w:t>
      </w:r>
      <w:proofErr w:type="gramEnd"/>
      <w:r w:rsidR="004E1DF7">
        <w:rPr>
          <w:rFonts w:ascii="Arial" w:hAnsi="Arial" w:cs="Arial"/>
          <w:sz w:val="20"/>
          <w:szCs w:val="20"/>
        </w:rPr>
        <w:t xml:space="preserve">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5182BDF2" w:rsidR="00C15A3A" w:rsidRPr="005C21F8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</w:t>
      </w:r>
      <w:proofErr w:type="gramStart"/>
      <w:r>
        <w:rPr>
          <w:rFonts w:ascii="Arial" w:hAnsi="Arial" w:cs="Arial"/>
          <w:sz w:val="20"/>
          <w:szCs w:val="20"/>
        </w:rPr>
        <w:t>4.2. této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 xml:space="preserve">za uhrazenou. Skutečnost, že se prodávající </w:t>
      </w:r>
      <w:proofErr w:type="gramStart"/>
      <w:r w:rsidRPr="007A37C4">
        <w:rPr>
          <w:rFonts w:ascii="Arial" w:hAnsi="Arial" w:cs="Arial"/>
          <w:sz w:val="20"/>
          <w:szCs w:val="20"/>
        </w:rPr>
        <w:t>stal</w:t>
      </w:r>
      <w:proofErr w:type="gramEnd"/>
      <w:r w:rsidRPr="007A37C4">
        <w:rPr>
          <w:rFonts w:ascii="Arial" w:hAnsi="Arial" w:cs="Arial"/>
          <w:sz w:val="20"/>
          <w:szCs w:val="20"/>
        </w:rPr>
        <w:t xml:space="preserve"> tzv. nespolehlivým plátcem DPH </w:t>
      </w:r>
      <w:proofErr w:type="gramStart"/>
      <w:r w:rsidRPr="007A37C4">
        <w:rPr>
          <w:rFonts w:ascii="Arial" w:hAnsi="Arial" w:cs="Arial"/>
          <w:sz w:val="20"/>
          <w:szCs w:val="20"/>
        </w:rPr>
        <w:t>bude</w:t>
      </w:r>
      <w:proofErr w:type="gramEnd"/>
      <w:r w:rsidRPr="007A37C4">
        <w:rPr>
          <w:rFonts w:ascii="Arial" w:hAnsi="Arial" w:cs="Arial"/>
          <w:sz w:val="20"/>
          <w:szCs w:val="20"/>
        </w:rPr>
        <w:t xml:space="preserve"> ověřena z veřejně dostupného registru </w:t>
      </w:r>
      <w:proofErr w:type="spellStart"/>
      <w:r w:rsidRPr="007A37C4">
        <w:rPr>
          <w:rFonts w:ascii="Arial" w:hAnsi="Arial" w:cs="Arial"/>
          <w:sz w:val="20"/>
          <w:szCs w:val="20"/>
        </w:rPr>
        <w:t>Registru</w:t>
      </w:r>
      <w:proofErr w:type="spellEnd"/>
      <w:r w:rsidRPr="007A37C4">
        <w:rPr>
          <w:rFonts w:ascii="Arial" w:hAnsi="Arial" w:cs="Arial"/>
          <w:sz w:val="20"/>
          <w:szCs w:val="20"/>
        </w:rPr>
        <w:t xml:space="preserve">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</w:t>
      </w:r>
      <w:proofErr w:type="gramStart"/>
      <w:r w:rsidR="000C3253">
        <w:rPr>
          <w:rFonts w:ascii="Arial" w:hAnsi="Arial" w:cs="Arial"/>
          <w:sz w:val="20"/>
          <w:szCs w:val="20"/>
        </w:rPr>
        <w:t>3.2. této</w:t>
      </w:r>
      <w:proofErr w:type="gramEnd"/>
      <w:r w:rsidR="000C3253">
        <w:rPr>
          <w:rFonts w:ascii="Arial" w:hAnsi="Arial" w:cs="Arial"/>
          <w:sz w:val="20"/>
          <w:szCs w:val="20"/>
        </w:rPr>
        <w:t xml:space="preserve">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 xml:space="preserve">dle čl. </w:t>
      </w:r>
      <w:proofErr w:type="gramStart"/>
      <w:r w:rsidR="003E7A9F" w:rsidRPr="00CC46A3">
        <w:rPr>
          <w:rFonts w:ascii="Arial" w:hAnsi="Arial" w:cs="Arial"/>
          <w:sz w:val="20"/>
          <w:szCs w:val="20"/>
        </w:rPr>
        <w:t>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>. této</w:t>
      </w:r>
      <w:proofErr w:type="gramEnd"/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</w:t>
      </w:r>
      <w:r w:rsidR="003E7A9F">
        <w:rPr>
          <w:rFonts w:ascii="Arial" w:hAnsi="Arial" w:cs="Arial"/>
          <w:sz w:val="20"/>
          <w:szCs w:val="20"/>
        </w:rPr>
        <w:lastRenderedPageBreak/>
        <w:t>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zna</w:t>
      </w:r>
      <w:r w:rsidR="003C2701">
        <w:rPr>
          <w:rFonts w:ascii="Arial" w:hAnsi="Arial" w:cs="Arial"/>
          <w:sz w:val="20"/>
          <w:szCs w:val="20"/>
        </w:rPr>
        <w:t>čku</w:t>
      </w:r>
      <w:proofErr w:type="gramEnd"/>
      <w:r w:rsidR="003C2701">
        <w:rPr>
          <w:rFonts w:ascii="Arial" w:hAnsi="Arial" w:cs="Arial"/>
          <w:sz w:val="20"/>
          <w:szCs w:val="20"/>
        </w:rPr>
        <w:t xml:space="preserve">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 xml:space="preserve">. Za vadu se považují i vady v dokladech dle čl. </w:t>
      </w:r>
      <w:proofErr w:type="gramStart"/>
      <w:r w:rsidRPr="00913660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</w:t>
      </w:r>
      <w:proofErr w:type="gramStart"/>
      <w:r>
        <w:rPr>
          <w:rFonts w:ascii="Arial" w:hAnsi="Arial" w:cs="Arial"/>
          <w:sz w:val="20"/>
          <w:szCs w:val="20"/>
        </w:rPr>
        <w:t>4.2. této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</w:t>
      </w:r>
      <w:r w:rsidRPr="00FB200C">
        <w:rPr>
          <w:rFonts w:ascii="Arial" w:hAnsi="Arial" w:cs="Arial"/>
          <w:sz w:val="20"/>
          <w:szCs w:val="20"/>
        </w:rPr>
        <w:lastRenderedPageBreak/>
        <w:t>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39BD640D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FE3D9B" w:rsidRPr="00934AFF">
        <w:rPr>
          <w:rFonts w:ascii="Arial" w:hAnsi="Arial" w:cs="Arial"/>
          <w:sz w:val="20"/>
          <w:szCs w:val="20"/>
        </w:rPr>
        <w:t>1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D4612D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2023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</w:t>
      </w:r>
      <w:proofErr w:type="gramStart"/>
      <w:r w:rsidRPr="005B1C72">
        <w:rPr>
          <w:rFonts w:ascii="Arial" w:eastAsia="Times New Roman" w:hAnsi="Arial" w:cs="Arial"/>
          <w:sz w:val="20"/>
          <w:szCs w:val="20"/>
          <w:lang w:eastAsia="cs-CZ"/>
        </w:rPr>
        <w:t>p.o.</w:t>
      </w:r>
      <w:proofErr w:type="gramEnd"/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lastRenderedPageBreak/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</w:t>
      </w:r>
      <w:proofErr w:type="spellStart"/>
      <w:proofErr w:type="gramStart"/>
      <w:r w:rsidRPr="009A16FF">
        <w:rPr>
          <w:rFonts w:ascii="Arial" w:hAnsi="Arial" w:cs="Arial"/>
          <w:sz w:val="20"/>
          <w:szCs w:val="20"/>
        </w:rPr>
        <w:t>o.z</w:t>
      </w:r>
      <w:proofErr w:type="spellEnd"/>
      <w:r w:rsidRPr="009A16FF">
        <w:rPr>
          <w:rFonts w:ascii="Arial" w:hAnsi="Arial" w:cs="Arial"/>
          <w:sz w:val="20"/>
          <w:szCs w:val="20"/>
        </w:rPr>
        <w:t>.</w:t>
      </w:r>
      <w:proofErr w:type="gramEnd"/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</w:t>
      </w:r>
      <w:proofErr w:type="gramStart"/>
      <w:r w:rsidR="00F439D2">
        <w:rPr>
          <w:rFonts w:ascii="Arial" w:hAnsi="Arial" w:cs="Arial"/>
          <w:sz w:val="20"/>
          <w:szCs w:val="20"/>
        </w:rPr>
        <w:t>11.1. této</w:t>
      </w:r>
      <w:proofErr w:type="gramEnd"/>
      <w:r w:rsidR="00F43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74601E73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D4612D">
        <w:rPr>
          <w:rFonts w:ascii="Arial" w:hAnsi="Arial" w:cs="Arial"/>
          <w:i/>
          <w:sz w:val="20"/>
          <w:szCs w:val="20"/>
        </w:rPr>
        <w:t>, tj. místa odběru</w:t>
      </w:r>
      <w:bookmarkStart w:id="0" w:name="_GoBack"/>
      <w:bookmarkEnd w:id="0"/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 xml:space="preserve">Správa a údržba silnic Plzeňského kraje, </w:t>
      </w:r>
      <w:proofErr w:type="gramStart"/>
      <w:r w:rsidRPr="005C21F8">
        <w:rPr>
          <w:rFonts w:ascii="Arial" w:eastAsia="Arial" w:hAnsi="Arial" w:cs="Arial"/>
          <w:b/>
          <w:sz w:val="20"/>
          <w:szCs w:val="20"/>
        </w:rPr>
        <w:t>p.o</w:t>
      </w:r>
      <w:r w:rsidRPr="005C21F8">
        <w:rPr>
          <w:rFonts w:ascii="Arial" w:eastAsia="Arial" w:hAnsi="Arial" w:cs="Arial"/>
          <w:sz w:val="20"/>
          <w:szCs w:val="20"/>
        </w:rPr>
        <w:t>.</w:t>
      </w:r>
      <w:proofErr w:type="gramEnd"/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205" w:rsidRDefault="00F71205">
      <w:r>
        <w:separator/>
      </w:r>
    </w:p>
  </w:endnote>
  <w:endnote w:type="continuationSeparator" w:id="0">
    <w:p w14:paraId="176CEBCF" w14:textId="77777777" w:rsidR="00F71205" w:rsidRDefault="00F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205" w:rsidRDefault="00F7120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205" w:rsidRDefault="00F71205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18C9CC5A" w:rsidR="00F71205" w:rsidRDefault="00F71205" w:rsidP="00F04FCB">
    <w:pPr>
      <w:pStyle w:val="Zpat"/>
      <w:spacing w:before="240"/>
      <w:jc w:val="center"/>
    </w:pPr>
    <w:proofErr w:type="gramStart"/>
    <w:r w:rsidRPr="004E71A4">
      <w:rPr>
        <w:rFonts w:ascii="Arial" w:eastAsia="Arial" w:hAnsi="Arial" w:cs="Arial"/>
        <w:sz w:val="16"/>
        <w:szCs w:val="16"/>
      </w:rPr>
      <w:t xml:space="preserve">Stránka </w:t>
    </w:r>
    <w:proofErr w:type="gramEnd"/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4612D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proofErr w:type="gramStart"/>
    <w:r w:rsidRPr="004E71A4">
      <w:rPr>
        <w:rFonts w:ascii="Arial" w:eastAsia="Arial" w:hAnsi="Arial" w:cs="Arial"/>
        <w:sz w:val="16"/>
        <w:szCs w:val="16"/>
      </w:rPr>
      <w:t xml:space="preserve"> z </w:t>
    </w:r>
    <w:proofErr w:type="gramEnd"/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D4612D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205" w:rsidRDefault="00F71205" w:rsidP="00F04FCB">
    <w:pPr>
      <w:pStyle w:val="Zpat"/>
      <w:spacing w:before="240"/>
      <w:jc w:val="center"/>
    </w:pPr>
    <w:proofErr w:type="gramStart"/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proofErr w:type="gramEnd"/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205" w:rsidRDefault="00F71205">
      <w:r>
        <w:separator/>
      </w:r>
    </w:p>
  </w:footnote>
  <w:footnote w:type="continuationSeparator" w:id="0">
    <w:p w14:paraId="1D8F2B85" w14:textId="77777777" w:rsidR="00F71205" w:rsidRDefault="00F7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4F320D2D" w:rsidR="00F71205" w:rsidRPr="009F6F1E" w:rsidRDefault="00F71205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9C5876">
      <w:rPr>
        <w:rFonts w:ascii="Arial" w:hAnsi="Arial" w:cs="Arial"/>
        <w:i/>
        <w:sz w:val="16"/>
        <w:szCs w:val="16"/>
      </w:rPr>
      <w:t>3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</w:t>
    </w:r>
    <w:r w:rsidR="009C5876">
      <w:rPr>
        <w:rFonts w:ascii="Arial" w:hAnsi="Arial" w:cs="Arial"/>
        <w:i/>
        <w:sz w:val="16"/>
        <w:szCs w:val="16"/>
      </w:rPr>
      <w:t>3</w:t>
    </w:r>
    <w:r w:rsidR="006216B0">
      <w:rPr>
        <w:rFonts w:ascii="Arial" w:hAnsi="Arial" w:cs="Arial"/>
        <w:i/>
        <w:sz w:val="16"/>
        <w:szCs w:val="16"/>
      </w:rPr>
      <w:t xml:space="preserve">. </w:t>
    </w:r>
    <w:r w:rsidR="009C5876">
      <w:rPr>
        <w:rFonts w:ascii="Arial" w:hAnsi="Arial" w:cs="Arial"/>
        <w:i/>
        <w:sz w:val="16"/>
        <w:szCs w:val="16"/>
      </w:rPr>
      <w:t>Jih</w:t>
    </w:r>
    <w:r>
      <w:rPr>
        <w:rFonts w:ascii="Arial" w:hAnsi="Arial" w:cs="Arial"/>
        <w:i/>
        <w:sz w:val="16"/>
        <w:szCs w:val="16"/>
      </w:rPr>
      <w:t>“</w:t>
    </w:r>
  </w:p>
  <w:p w14:paraId="415F2FCF" w14:textId="77777777" w:rsidR="00F71205" w:rsidRDefault="00F71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205" w:rsidRDefault="00F71205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19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179E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1A75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63D08"/>
    <w:rsid w:val="00864BBC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4612D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F3FF-FBA9-4061-9C5A-104B25F4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3070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21070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5</cp:revision>
  <cp:lastPrinted>2020-01-29T12:41:00Z</cp:lastPrinted>
  <dcterms:created xsi:type="dcterms:W3CDTF">2021-11-30T11:50:00Z</dcterms:created>
  <dcterms:modified xsi:type="dcterms:W3CDTF">2021-12-01T08:41:00Z</dcterms:modified>
</cp:coreProperties>
</file>