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D0" w:rsidRPr="002350D6" w:rsidRDefault="00782E6C" w:rsidP="002350D6">
      <w:pPr>
        <w:pStyle w:val="Nzev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</w:t>
      </w:r>
      <w:r w:rsidR="00064FF4" w:rsidRPr="002350D6">
        <w:rPr>
          <w:rFonts w:ascii="Arial" w:hAnsi="Arial" w:cs="Arial"/>
          <w:sz w:val="28"/>
          <w:szCs w:val="28"/>
        </w:rPr>
        <w:t>mlouv</w:t>
      </w:r>
      <w:r>
        <w:rPr>
          <w:rFonts w:ascii="Arial" w:hAnsi="Arial" w:cs="Arial"/>
          <w:sz w:val="28"/>
          <w:szCs w:val="28"/>
        </w:rPr>
        <w:t>a</w:t>
      </w:r>
      <w:r w:rsidR="00064FF4" w:rsidRPr="002350D6">
        <w:rPr>
          <w:rFonts w:ascii="Arial" w:hAnsi="Arial" w:cs="Arial"/>
          <w:sz w:val="28"/>
          <w:szCs w:val="28"/>
        </w:rPr>
        <w:t xml:space="preserve"> o </w:t>
      </w:r>
      <w:r w:rsidR="00A017F0" w:rsidRPr="002350D6">
        <w:rPr>
          <w:rFonts w:ascii="Arial" w:hAnsi="Arial" w:cs="Arial"/>
          <w:sz w:val="28"/>
          <w:szCs w:val="28"/>
        </w:rPr>
        <w:t xml:space="preserve">poskytování </w:t>
      </w:r>
      <w:r w:rsidR="00064FF4" w:rsidRPr="002350D6">
        <w:rPr>
          <w:rFonts w:ascii="Arial" w:hAnsi="Arial" w:cs="Arial"/>
          <w:sz w:val="28"/>
          <w:szCs w:val="28"/>
        </w:rPr>
        <w:t>služeb</w:t>
      </w:r>
    </w:p>
    <w:p w:rsidR="002350D6" w:rsidRDefault="002350D6" w:rsidP="002350D6">
      <w:pPr>
        <w:pStyle w:val="Prosttext"/>
        <w:jc w:val="center"/>
        <w:rPr>
          <w:rFonts w:ascii="Arial" w:eastAsia="MS Mincho" w:hAnsi="Arial" w:cs="Arial"/>
          <w:bCs/>
        </w:rPr>
      </w:pPr>
    </w:p>
    <w:p w:rsidR="00A017F0" w:rsidRPr="002350D6" w:rsidRDefault="00A017F0" w:rsidP="002350D6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objednatele: </w:t>
      </w:r>
    </w:p>
    <w:p w:rsidR="00A017F0" w:rsidRDefault="00A017F0" w:rsidP="002350D6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 w:rsidR="009D3F50">
        <w:rPr>
          <w:rFonts w:ascii="Arial" w:eastAsia="MS Mincho" w:hAnsi="Arial" w:cs="Arial"/>
          <w:bCs/>
        </w:rPr>
        <w:t>poskytovatele</w:t>
      </w:r>
      <w:r w:rsidRPr="002350D6">
        <w:rPr>
          <w:rFonts w:ascii="Arial" w:eastAsia="MS Mincho" w:hAnsi="Arial" w:cs="Arial"/>
          <w:bCs/>
        </w:rPr>
        <w:t>:</w:t>
      </w:r>
    </w:p>
    <w:p w:rsidR="00E147D8" w:rsidRDefault="00E147D8" w:rsidP="002350D6">
      <w:pPr>
        <w:pStyle w:val="Prosttext"/>
        <w:jc w:val="center"/>
        <w:rPr>
          <w:rFonts w:ascii="Arial" w:eastAsia="MS Mincho" w:hAnsi="Arial" w:cs="Arial"/>
          <w:bCs/>
        </w:rPr>
      </w:pPr>
    </w:p>
    <w:p w:rsidR="002350D6" w:rsidRPr="00DA44BA" w:rsidRDefault="002350D6" w:rsidP="00DA44BA">
      <w:pPr>
        <w:pStyle w:val="Nadpis1"/>
      </w:pPr>
      <w:r w:rsidRPr="00DA44BA">
        <w:t>SMLUVNÍ STRANY</w:t>
      </w:r>
    </w:p>
    <w:p w:rsidR="002350D6" w:rsidRPr="002350D6" w:rsidRDefault="002350D6" w:rsidP="00146BE0">
      <w:pPr>
        <w:pStyle w:val="Nadpis2"/>
        <w:numPr>
          <w:ilvl w:val="1"/>
          <w:numId w:val="3"/>
        </w:numPr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Objednatel </w:t>
      </w:r>
    </w:p>
    <w:tbl>
      <w:tblPr>
        <w:tblW w:w="91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663"/>
        <w:gridCol w:w="7522"/>
      </w:tblGrid>
      <w:tr w:rsidR="002350D6" w:rsidRPr="0023344B" w:rsidTr="00A070B8">
        <w:trPr>
          <w:jc w:val="right"/>
        </w:trPr>
        <w:tc>
          <w:tcPr>
            <w:tcW w:w="1663" w:type="dxa"/>
          </w:tcPr>
          <w:p w:rsidR="002350D6" w:rsidRPr="0023344B" w:rsidRDefault="002350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22" w:type="dxa"/>
          </w:tcPr>
          <w:p w:rsidR="002350D6" w:rsidRPr="00A070B8" w:rsidRDefault="00A070B8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 w:rsidR="00E54DD6"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A070B8">
        <w:trPr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Zástupce:</w:t>
            </w:r>
          </w:p>
        </w:tc>
        <w:tc>
          <w:tcPr>
            <w:tcW w:w="7522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A070B8">
        <w:trPr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7522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A070B8">
        <w:trPr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7522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A070B8">
        <w:trPr>
          <w:jc w:val="right"/>
        </w:trPr>
        <w:tc>
          <w:tcPr>
            <w:tcW w:w="1663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7522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</w:tbl>
    <w:p w:rsidR="00E54DD6" w:rsidRDefault="00E54DD6" w:rsidP="00E54DD6">
      <w:pPr>
        <w:spacing w:before="120"/>
        <w:rPr>
          <w:rFonts w:ascii="Arial" w:hAnsi="Arial" w:cs="Arial"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Objednatel</w:t>
      </w:r>
      <w:r w:rsidRPr="00E54DD6">
        <w:rPr>
          <w:rFonts w:ascii="Arial" w:hAnsi="Arial" w:cs="Arial"/>
          <w:sz w:val="20"/>
          <w:szCs w:val="20"/>
        </w:rPr>
        <w:t>“</w:t>
      </w:r>
    </w:p>
    <w:p w:rsidR="00E54DD6" w:rsidRPr="00E54DD6" w:rsidRDefault="00E54DD6" w:rsidP="00D11F5A">
      <w:pPr>
        <w:rPr>
          <w:rFonts w:ascii="Arial" w:hAnsi="Arial" w:cs="Arial"/>
          <w:sz w:val="20"/>
          <w:szCs w:val="20"/>
        </w:rPr>
      </w:pPr>
    </w:p>
    <w:p w:rsidR="002350D6" w:rsidRPr="002350D6" w:rsidRDefault="002350D6" w:rsidP="00146BE0">
      <w:pPr>
        <w:pStyle w:val="Nadpis2"/>
        <w:numPr>
          <w:ilvl w:val="1"/>
          <w:numId w:val="3"/>
        </w:numPr>
        <w:ind w:left="567" w:hanging="567"/>
        <w:jc w:val="left"/>
        <w:rPr>
          <w:rFonts w:ascii="Arial" w:hAnsi="Arial"/>
          <w:sz w:val="20"/>
          <w:szCs w:val="20"/>
        </w:rPr>
      </w:pPr>
      <w:r w:rsidRPr="002350D6">
        <w:rPr>
          <w:rFonts w:ascii="Arial" w:hAnsi="Arial"/>
          <w:sz w:val="20"/>
          <w:szCs w:val="20"/>
        </w:rPr>
        <w:t xml:space="preserve">Poskytovatel </w:t>
      </w:r>
    </w:p>
    <w:tbl>
      <w:tblPr>
        <w:tblW w:w="917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611"/>
        <w:gridCol w:w="7568"/>
      </w:tblGrid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Zástupce: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Banka: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  <w:tr w:rsidR="00E54DD6" w:rsidRPr="0023344B" w:rsidTr="00E54DD6">
        <w:trPr>
          <w:jc w:val="right"/>
        </w:trPr>
        <w:tc>
          <w:tcPr>
            <w:tcW w:w="1611" w:type="dxa"/>
          </w:tcPr>
          <w:p w:rsidR="00E54DD6" w:rsidRPr="0023344B" w:rsidRDefault="00E54DD6" w:rsidP="002350D6">
            <w:pPr>
              <w:rPr>
                <w:rFonts w:ascii="Arial" w:hAnsi="Arial" w:cs="Arial"/>
                <w:sz w:val="20"/>
                <w:szCs w:val="20"/>
              </w:rPr>
            </w:pPr>
            <w:r w:rsidRPr="0023344B">
              <w:rPr>
                <w:rFonts w:ascii="Arial" w:hAnsi="Arial" w:cs="Arial"/>
                <w:sz w:val="20"/>
                <w:szCs w:val="20"/>
              </w:rPr>
              <w:t>Číslo účtu:</w:t>
            </w:r>
          </w:p>
        </w:tc>
        <w:tc>
          <w:tcPr>
            <w:tcW w:w="7568" w:type="dxa"/>
          </w:tcPr>
          <w:p w:rsidR="00E54DD6" w:rsidRPr="00A070B8" w:rsidRDefault="00E54DD6" w:rsidP="00E54DD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A070B8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DOPLNÍ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>T</w:t>
            </w:r>
          </w:p>
        </w:tc>
      </w:tr>
    </w:tbl>
    <w:p w:rsidR="00E54DD6" w:rsidRPr="00E54DD6" w:rsidRDefault="00E54DD6" w:rsidP="00E54DD6">
      <w:pPr>
        <w:spacing w:before="120"/>
        <w:outlineLvl w:val="0"/>
        <w:rPr>
          <w:rFonts w:ascii="Arial" w:hAnsi="Arial" w:cs="Arial"/>
          <w:b/>
          <w:sz w:val="20"/>
          <w:szCs w:val="20"/>
        </w:rPr>
      </w:pPr>
      <w:r w:rsidRPr="00E54DD6">
        <w:rPr>
          <w:rFonts w:ascii="Arial" w:hAnsi="Arial" w:cs="Arial"/>
          <w:sz w:val="20"/>
          <w:szCs w:val="20"/>
        </w:rPr>
        <w:t xml:space="preserve">dále jen </w:t>
      </w:r>
      <w:r w:rsidRPr="00E54DD6">
        <w:rPr>
          <w:rFonts w:ascii="Arial" w:hAnsi="Arial" w:cs="Arial"/>
          <w:b/>
          <w:sz w:val="20"/>
          <w:szCs w:val="20"/>
        </w:rPr>
        <w:t>„</w:t>
      </w:r>
      <w:r w:rsidR="00D11F5A" w:rsidRPr="00E54DD6">
        <w:rPr>
          <w:rFonts w:ascii="Arial" w:hAnsi="Arial" w:cs="Arial"/>
          <w:b/>
          <w:sz w:val="20"/>
          <w:szCs w:val="20"/>
        </w:rPr>
        <w:t>Poskytovatel</w:t>
      </w:r>
      <w:r w:rsidRPr="00E54DD6">
        <w:rPr>
          <w:rFonts w:ascii="Arial" w:hAnsi="Arial" w:cs="Arial"/>
          <w:b/>
          <w:sz w:val="20"/>
          <w:szCs w:val="20"/>
        </w:rPr>
        <w:t>“</w:t>
      </w:r>
    </w:p>
    <w:p w:rsidR="00A017F0" w:rsidRPr="002350D6" w:rsidRDefault="00A017F0" w:rsidP="002350D6">
      <w:pPr>
        <w:jc w:val="both"/>
        <w:rPr>
          <w:rFonts w:ascii="Arial" w:hAnsi="Arial" w:cs="Arial"/>
          <w:sz w:val="20"/>
          <w:szCs w:val="20"/>
        </w:rPr>
      </w:pPr>
    </w:p>
    <w:p w:rsidR="002350D6" w:rsidRDefault="00A017F0" w:rsidP="002350D6">
      <w:pPr>
        <w:jc w:val="center"/>
        <w:rPr>
          <w:rFonts w:ascii="Arial" w:hAnsi="Arial" w:cs="Arial"/>
          <w:sz w:val="20"/>
          <w:szCs w:val="20"/>
        </w:rPr>
      </w:pPr>
      <w:r w:rsidRPr="002350D6">
        <w:rPr>
          <w:rFonts w:ascii="Arial" w:hAnsi="Arial" w:cs="Arial"/>
          <w:sz w:val="20"/>
          <w:szCs w:val="20"/>
        </w:rPr>
        <w:t xml:space="preserve">uzavírají </w:t>
      </w:r>
      <w:r w:rsidR="002350D6" w:rsidRPr="0023344B">
        <w:rPr>
          <w:rFonts w:ascii="Arial" w:hAnsi="Arial" w:cs="Arial"/>
          <w:sz w:val="20"/>
          <w:szCs w:val="20"/>
        </w:rPr>
        <w:t>níž</w:t>
      </w:r>
      <w:r w:rsidR="002350D6">
        <w:rPr>
          <w:rFonts w:ascii="Arial" w:hAnsi="Arial" w:cs="Arial"/>
          <w:sz w:val="20"/>
          <w:szCs w:val="20"/>
        </w:rPr>
        <w:t xml:space="preserve">e uvedeného dne, měsíce a roku </w:t>
      </w:r>
      <w:r w:rsidRPr="002350D6">
        <w:rPr>
          <w:rFonts w:ascii="Arial" w:hAnsi="Arial" w:cs="Arial"/>
          <w:sz w:val="20"/>
          <w:szCs w:val="20"/>
        </w:rPr>
        <w:t>v souladu s § 269 odst. 2 Obchodního zákoníku tuto smlouvu:</w:t>
      </w:r>
    </w:p>
    <w:p w:rsidR="00FC0DF8" w:rsidRDefault="00FC0DF8" w:rsidP="002350D6">
      <w:pPr>
        <w:jc w:val="center"/>
        <w:rPr>
          <w:rFonts w:ascii="Arial" w:hAnsi="Arial" w:cs="Arial"/>
          <w:sz w:val="20"/>
          <w:szCs w:val="20"/>
        </w:rPr>
      </w:pPr>
    </w:p>
    <w:p w:rsidR="00692234" w:rsidRDefault="005E1DD8" w:rsidP="00692234">
      <w:pPr>
        <w:pStyle w:val="Nadpis1"/>
      </w:pPr>
      <w:r>
        <w:t>P</w:t>
      </w:r>
      <w:r w:rsidR="002350D6" w:rsidRPr="00DA44BA">
        <w:t>ŘEDMĚT SMLOUVY</w:t>
      </w:r>
    </w:p>
    <w:p w:rsidR="004B1DB4" w:rsidRPr="00886B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</w:pPr>
      <w:r w:rsidRPr="00FC0DF8">
        <w:rPr>
          <w:b w:val="0"/>
        </w:rPr>
        <w:t>Předmětem smlouvy je realizace služeb spojených s praním prádla a chemickým čištěním prádla,</w:t>
      </w:r>
      <w:r w:rsidRPr="00886B7B">
        <w:rPr>
          <w:b w:val="0"/>
        </w:rPr>
        <w:t xml:space="preserve"> žehlením, mandlováním, drobnými opravami prádla, odvozem špinavého prádla a dovozem čistého prádla na jednotlivá dodací místa za podmínek vzešlých z veřejné zakázky </w:t>
      </w:r>
      <w:r w:rsidR="00886B7B" w:rsidRPr="00886B7B">
        <w:rPr>
          <w:b w:val="0"/>
        </w:rPr>
        <w:t>s názvem</w:t>
      </w:r>
      <w:r w:rsidRPr="00886B7B">
        <w:rPr>
          <w:b w:val="0"/>
        </w:rPr>
        <w:t>„</w:t>
      </w:r>
      <w:r w:rsidRPr="00886B7B">
        <w:t>S</w:t>
      </w:r>
      <w:r w:rsidR="006A6D4D" w:rsidRPr="00886B7B">
        <w:t>l</w:t>
      </w:r>
      <w:r w:rsidRPr="00886B7B">
        <w:t>užby spojené s praním prádla</w:t>
      </w:r>
      <w:r w:rsidR="00ED21A5">
        <w:t xml:space="preserve"> (2. vyhlášení)</w:t>
      </w:r>
      <w:r w:rsidRPr="00886B7B">
        <w:rPr>
          <w:b w:val="0"/>
        </w:rPr>
        <w:t>“</w:t>
      </w:r>
      <w:r w:rsidR="00886B7B">
        <w:rPr>
          <w:b w:val="0"/>
        </w:rPr>
        <w:t xml:space="preserve"> (</w:t>
      </w:r>
      <w:proofErr w:type="spellStart"/>
      <w:r w:rsidR="00886B7B" w:rsidRPr="00886B7B">
        <w:rPr>
          <w:b w:val="0"/>
        </w:rPr>
        <w:t>ev</w:t>
      </w:r>
      <w:proofErr w:type="spellEnd"/>
      <w:r w:rsidR="00886B7B" w:rsidRPr="00886B7B">
        <w:rPr>
          <w:b w:val="0"/>
        </w:rPr>
        <w:t xml:space="preserve">. č. VZ ve VVZ: </w:t>
      </w:r>
      <w:r w:rsidR="00ED21A5">
        <w:t>365798</w:t>
      </w:r>
      <w:r w:rsidR="00886B7B">
        <w:t>)</w:t>
      </w:r>
      <w:r w:rsidR="00886B7B" w:rsidRPr="00886B7B">
        <w:rPr>
          <w:b w:val="0"/>
        </w:rPr>
        <w:t xml:space="preserve"> </w:t>
      </w:r>
      <w:r w:rsidR="009D3F50">
        <w:rPr>
          <w:b w:val="0"/>
        </w:rPr>
        <w:t>na</w:t>
      </w:r>
      <w:r w:rsidRPr="00886B7B">
        <w:rPr>
          <w:b w:val="0"/>
        </w:rPr>
        <w:t xml:space="preserve"> následující</w:t>
      </w:r>
      <w:r w:rsidR="00D96D14" w:rsidRPr="00886B7B">
        <w:rPr>
          <w:b w:val="0"/>
        </w:rPr>
        <w:t xml:space="preserve"> </w:t>
      </w:r>
      <w:r w:rsidR="004B1DB4" w:rsidRPr="00886B7B">
        <w:rPr>
          <w:b w:val="0"/>
        </w:rPr>
        <w:t>část VZ</w:t>
      </w:r>
      <w:r w:rsidRPr="00886B7B">
        <w:rPr>
          <w:b w:val="0"/>
        </w:rPr>
        <w:t xml:space="preserve">: </w:t>
      </w:r>
      <w:r w:rsidRPr="00886B7B">
        <w:rPr>
          <w:color w:val="FF0000"/>
        </w:rPr>
        <w:t>DOPLNIT</w:t>
      </w:r>
      <w:r w:rsidR="00D96D14" w:rsidRPr="00886B7B">
        <w:rPr>
          <w:b w:val="0"/>
        </w:rPr>
        <w:t>.</w:t>
      </w:r>
      <w:r w:rsidR="0058331C" w:rsidRPr="00886B7B">
        <w:rPr>
          <w:b w:val="0"/>
        </w:rPr>
        <w:t xml:space="preserve"> </w:t>
      </w:r>
    </w:p>
    <w:p w:rsidR="004B1DB4" w:rsidRPr="004B1DB4" w:rsidRDefault="004B1DB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B1DB4">
        <w:rPr>
          <w:b w:val="0"/>
        </w:rPr>
        <w:t>Tyto služby jsou specifikovány v čl. 2. Zadávací dokumentace k této veřejné zakázce a v příslušných přílohách zadávací dokumentace.</w:t>
      </w:r>
    </w:p>
    <w:p w:rsidR="00A82A39" w:rsidRDefault="006474C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692234">
        <w:rPr>
          <w:b w:val="0"/>
        </w:rPr>
        <w:t xml:space="preserve">Předávání prádla </w:t>
      </w:r>
      <w:r w:rsidR="00FC0DF8">
        <w:rPr>
          <w:b w:val="0"/>
        </w:rPr>
        <w:t xml:space="preserve">mezi objednatelem a poskytovatelem </w:t>
      </w:r>
      <w:r w:rsidRPr="00692234">
        <w:rPr>
          <w:b w:val="0"/>
        </w:rPr>
        <w:t>se bude uskutečňovat v</w:t>
      </w:r>
      <w:r w:rsidR="00615E21" w:rsidRPr="00692234">
        <w:rPr>
          <w:b w:val="0"/>
        </w:rPr>
        <w:t xml:space="preserve"> předávacích místech </w:t>
      </w:r>
      <w:r w:rsidRPr="00692234">
        <w:rPr>
          <w:b w:val="0"/>
        </w:rPr>
        <w:t xml:space="preserve">objednatele dle </w:t>
      </w:r>
      <w:r w:rsidR="00615E21" w:rsidRPr="00692234">
        <w:rPr>
          <w:b w:val="0"/>
        </w:rPr>
        <w:t>závazného H</w:t>
      </w:r>
      <w:r w:rsidRPr="00692234">
        <w:rPr>
          <w:b w:val="0"/>
        </w:rPr>
        <w:t>armonogramu svozů</w:t>
      </w:r>
      <w:r w:rsidR="001B37CE" w:rsidRPr="00692234">
        <w:rPr>
          <w:b w:val="0"/>
        </w:rPr>
        <w:t xml:space="preserve"> (</w:t>
      </w:r>
      <w:r w:rsidR="00615E21" w:rsidRPr="00692234">
        <w:rPr>
          <w:b w:val="0"/>
        </w:rPr>
        <w:t>viz p</w:t>
      </w:r>
      <w:r w:rsidR="001B37CE" w:rsidRPr="00692234">
        <w:rPr>
          <w:b w:val="0"/>
        </w:rPr>
        <w:t xml:space="preserve">říloha č. </w:t>
      </w:r>
      <w:r w:rsidR="00615E21" w:rsidRPr="00692234">
        <w:rPr>
          <w:b w:val="0"/>
        </w:rPr>
        <w:t xml:space="preserve">2 </w:t>
      </w:r>
      <w:proofErr w:type="gramStart"/>
      <w:r w:rsidR="00615E21" w:rsidRPr="00692234">
        <w:rPr>
          <w:b w:val="0"/>
        </w:rPr>
        <w:t>této</w:t>
      </w:r>
      <w:proofErr w:type="gramEnd"/>
      <w:r w:rsidR="00615E21" w:rsidRPr="00692234">
        <w:rPr>
          <w:b w:val="0"/>
        </w:rPr>
        <w:t xml:space="preserve"> smlouvy</w:t>
      </w:r>
      <w:r w:rsidR="001B37CE" w:rsidRPr="00692234">
        <w:rPr>
          <w:b w:val="0"/>
        </w:rPr>
        <w:t>)</w:t>
      </w:r>
      <w:r w:rsidRPr="00692234">
        <w:rPr>
          <w:b w:val="0"/>
        </w:rPr>
        <w:t>.</w:t>
      </w:r>
      <w:r w:rsidR="001B37CE" w:rsidRPr="00692234">
        <w:rPr>
          <w:b w:val="0"/>
        </w:rPr>
        <w:t xml:space="preserve"> </w:t>
      </w:r>
    </w:p>
    <w:p w:rsidR="00692234" w:rsidRPr="00FE59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  <w:bCs/>
        </w:rPr>
        <w:t>Objednatel je oprávněn kdykoli změnit místo předání prádla a určit jej písemným oznámením poskytovateli. Poskytovatel se zavazuje počínaje dnem doručení písemného oznámení o změně místa plnění takovou změnu respektovat a služby provádět v nově určeném místě realizace</w:t>
      </w:r>
      <w:r w:rsidR="00692234" w:rsidRPr="00FE597B">
        <w:rPr>
          <w:b w:val="0"/>
          <w:bCs/>
        </w:rPr>
        <w:t>.</w:t>
      </w:r>
    </w:p>
    <w:p w:rsidR="00692234" w:rsidRPr="00FE597B" w:rsidRDefault="00E45DB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O převzetí prádla bude </w:t>
      </w:r>
      <w:r w:rsidR="00615E21" w:rsidRPr="00FE597B">
        <w:rPr>
          <w:b w:val="0"/>
        </w:rPr>
        <w:t>poskytovatel</w:t>
      </w:r>
      <w:r w:rsidRPr="00FE597B">
        <w:rPr>
          <w:b w:val="0"/>
        </w:rPr>
        <w:t>em pořízen v den převzetí zápis podepsaný pověřenými pracovníky obou stran.</w:t>
      </w:r>
      <w:r w:rsidR="001D1BCB" w:rsidRPr="00FE597B">
        <w:rPr>
          <w:b w:val="0"/>
        </w:rPr>
        <w:t xml:space="preserve"> Souhrnné zápisy za jeden kalendářní měsíc tvoří vždy přílohu fakturace.</w:t>
      </w:r>
      <w:r w:rsidRPr="00FE597B">
        <w:rPr>
          <w:b w:val="0"/>
        </w:rPr>
        <w:t xml:space="preserve"> </w:t>
      </w:r>
    </w:p>
    <w:p w:rsidR="00696D62" w:rsidRPr="002649E5" w:rsidRDefault="00E45DB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Termíny odvozu a svozu prádla</w:t>
      </w:r>
      <w:r w:rsidR="00615E21" w:rsidRPr="00FE597B">
        <w:rPr>
          <w:b w:val="0"/>
        </w:rPr>
        <w:t xml:space="preserve">, stanovené dle závazného Harmonogramu svozů (viz příloha č. 2 této </w:t>
      </w:r>
      <w:r w:rsidR="00615E21" w:rsidRPr="002649E5">
        <w:rPr>
          <w:b w:val="0"/>
        </w:rPr>
        <w:t xml:space="preserve">smlouvy), </w:t>
      </w:r>
      <w:r w:rsidRPr="002649E5">
        <w:rPr>
          <w:b w:val="0"/>
        </w:rPr>
        <w:t>lze upravit po vzájemné dohodě smluvních stran.</w:t>
      </w:r>
    </w:p>
    <w:p w:rsidR="002649E5" w:rsidRPr="002649E5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2649E5">
        <w:rPr>
          <w:b w:val="0"/>
        </w:rPr>
        <w:t xml:space="preserve">Množství prádla určeného k vyprání je stanoveno orientačně. Objednatel je oprávněn určovat konkrétní množství dle aktuálních potřeb v závislosti na provozu bez penalizace či jiného postihu ze strany poskytovatele. </w:t>
      </w:r>
    </w:p>
    <w:p w:rsidR="002649E5" w:rsidRPr="002649E5" w:rsidRDefault="002649E5" w:rsidP="002649E5"/>
    <w:p w:rsidR="00A82A39" w:rsidRPr="00A82A39" w:rsidRDefault="00A82A39" w:rsidP="00A82A39">
      <w:pPr>
        <w:pStyle w:val="Nadpis1"/>
        <w:keepNext/>
        <w:ind w:hanging="431"/>
      </w:pPr>
      <w:r w:rsidRPr="00A82A39">
        <w:t xml:space="preserve">DOBA TRVÁNÍ SMLOUVY </w:t>
      </w:r>
    </w:p>
    <w:p w:rsidR="00A82A39" w:rsidRPr="00A82A39" w:rsidRDefault="00A82A3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>
        <w:rPr>
          <w:b w:val="0"/>
        </w:rPr>
        <w:t>S</w:t>
      </w:r>
      <w:r w:rsidRPr="00A82A39">
        <w:rPr>
          <w:b w:val="0"/>
        </w:rPr>
        <w:t xml:space="preserve">mlouva nabývá platnosti dnem podpisu obou smluvních stran. </w:t>
      </w:r>
    </w:p>
    <w:p w:rsidR="00A82A39" w:rsidRPr="00FC0DF8" w:rsidRDefault="00A82A3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C0DF8">
        <w:rPr>
          <w:b w:val="0"/>
        </w:rPr>
        <w:t xml:space="preserve">Smlouva nabývá účinnosti dnem 1. ledna 2014 a je uzavřena na dobu neurčitou. </w:t>
      </w:r>
    </w:p>
    <w:p w:rsidR="002649E5" w:rsidRPr="00FC0DF8" w:rsidRDefault="002649E5" w:rsidP="002649E5">
      <w:pPr>
        <w:pStyle w:val="Nadpis1"/>
        <w:ind w:hanging="431"/>
      </w:pPr>
      <w:r w:rsidRPr="00FC0DF8">
        <w:lastRenderedPageBreak/>
        <w:t>MÍSTO POSKYTOVÁNÍ PLNĚNÍ</w:t>
      </w:r>
    </w:p>
    <w:p w:rsidR="002649E5" w:rsidRPr="002649E5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2649E5">
        <w:rPr>
          <w:b w:val="0"/>
        </w:rPr>
        <w:t>Místem p</w:t>
      </w:r>
      <w:r w:rsidR="00FC0DF8">
        <w:rPr>
          <w:b w:val="0"/>
        </w:rPr>
        <w:t>oskytován</w:t>
      </w:r>
      <w:r w:rsidRPr="002649E5">
        <w:rPr>
          <w:b w:val="0"/>
        </w:rPr>
        <w:t xml:space="preserve">í služeb jsou předávací místa jednotlivých dílčích objednatelů stanovená v příloze č. 2 </w:t>
      </w:r>
      <w:proofErr w:type="gramStart"/>
      <w:r w:rsidR="0076685A">
        <w:rPr>
          <w:b w:val="0"/>
        </w:rPr>
        <w:t>této</w:t>
      </w:r>
      <w:proofErr w:type="gramEnd"/>
      <w:r w:rsidRPr="002649E5">
        <w:rPr>
          <w:b w:val="0"/>
        </w:rPr>
        <w:t xml:space="preserve"> smlouvy (= </w:t>
      </w:r>
      <w:r w:rsidRPr="002649E5">
        <w:rPr>
          <w:b w:val="0"/>
          <w:i/>
        </w:rPr>
        <w:t>Harmonogram svozů</w:t>
      </w:r>
      <w:r w:rsidRPr="002649E5">
        <w:rPr>
          <w:b w:val="0"/>
        </w:rPr>
        <w:t>), trasa mezi předávacími místy a provozovnou poskytovatele a provozovna poskytovatele.</w:t>
      </w:r>
    </w:p>
    <w:p w:rsidR="002649E5" w:rsidRDefault="002649E5" w:rsidP="002649E5">
      <w:pPr>
        <w:pStyle w:val="Nadpis2"/>
        <w:rPr>
          <w:rFonts w:ascii="Arial" w:hAnsi="Arial"/>
          <w:sz w:val="20"/>
          <w:szCs w:val="20"/>
        </w:rPr>
      </w:pPr>
    </w:p>
    <w:p w:rsidR="00DA44BA" w:rsidRPr="00FE597B" w:rsidRDefault="002350D6" w:rsidP="00DA44BA">
      <w:pPr>
        <w:pStyle w:val="Nadpis1"/>
      </w:pPr>
      <w:r w:rsidRPr="00FE597B">
        <w:t xml:space="preserve">POVINNOSTI </w:t>
      </w:r>
      <w:r w:rsidR="00615E21" w:rsidRPr="00FE597B">
        <w:t>POSKYTOVATEL</w:t>
      </w:r>
      <w:r w:rsidRPr="00FE597B">
        <w:t>E</w:t>
      </w:r>
    </w:p>
    <w:p w:rsidR="002649E5" w:rsidRPr="00FC0DF8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C0DF8">
        <w:rPr>
          <w:b w:val="0"/>
        </w:rPr>
        <w:t>Poskytovatel odpovídá za provádění služeb v požadované kvalitě, dle zadávacích podmínek, v souladu s požadavkem objednatele a ve stanovených termínech.</w:t>
      </w:r>
    </w:p>
    <w:p w:rsidR="00DA44BA" w:rsidRPr="00FE59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Poskytovatel</w:t>
      </w:r>
      <w:r w:rsidR="00E45DB0" w:rsidRPr="00FE597B">
        <w:rPr>
          <w:b w:val="0"/>
        </w:rPr>
        <w:t xml:space="preserve"> je povinen třídit čisté prádlo do označených přepravních boxů</w:t>
      </w:r>
      <w:r w:rsidR="008B61DB" w:rsidRPr="00FE597B">
        <w:rPr>
          <w:b w:val="0"/>
        </w:rPr>
        <w:t xml:space="preserve"> dle požadavků </w:t>
      </w:r>
      <w:r w:rsidR="00663447">
        <w:rPr>
          <w:b w:val="0"/>
        </w:rPr>
        <w:t>objednatele</w:t>
      </w:r>
      <w:r w:rsidR="00E45DB0" w:rsidRPr="00FE597B">
        <w:rPr>
          <w:b w:val="0"/>
          <w:i/>
        </w:rPr>
        <w:t xml:space="preserve"> </w:t>
      </w:r>
      <w:r w:rsidR="00290C58" w:rsidRPr="00FE597B">
        <w:rPr>
          <w:b w:val="0"/>
        </w:rPr>
        <w:t>a předávat ho</w:t>
      </w:r>
      <w:r w:rsidR="008B61DB" w:rsidRPr="00FE597B">
        <w:rPr>
          <w:b w:val="0"/>
        </w:rPr>
        <w:t xml:space="preserve"> společně se seznamem předávaného prádla</w:t>
      </w:r>
      <w:r w:rsidR="00290C58" w:rsidRPr="00FE597B">
        <w:rPr>
          <w:b w:val="0"/>
        </w:rPr>
        <w:t xml:space="preserve"> proti podpisu na příslušné pracoviště </w:t>
      </w:r>
      <w:r w:rsidR="00663447">
        <w:rPr>
          <w:b w:val="0"/>
        </w:rPr>
        <w:t>objednatele</w:t>
      </w:r>
      <w:r w:rsidR="00290C58" w:rsidRPr="00FE597B">
        <w:rPr>
          <w:b w:val="0"/>
        </w:rPr>
        <w:t>.</w:t>
      </w:r>
      <w:r w:rsidR="00643CDE" w:rsidRPr="00FE597B">
        <w:rPr>
          <w:b w:val="0"/>
        </w:rPr>
        <w:t xml:space="preserve"> </w:t>
      </w:r>
      <w:r w:rsidR="00663447">
        <w:rPr>
          <w:b w:val="0"/>
        </w:rPr>
        <w:t xml:space="preserve">Poskytovatel je povinen zajistit vhodné přepravní boxy. </w:t>
      </w:r>
      <w:r w:rsidR="00643CDE" w:rsidRPr="00FE597B">
        <w:rPr>
          <w:b w:val="0"/>
        </w:rPr>
        <w:t>Přepravní boxy jsou majetkem prádelny.</w:t>
      </w:r>
    </w:p>
    <w:p w:rsidR="00DA44BA" w:rsidRPr="00FE597B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Poskytovatel</w:t>
      </w:r>
      <w:r w:rsidR="00696D62" w:rsidRPr="00FE597B">
        <w:rPr>
          <w:b w:val="0"/>
        </w:rPr>
        <w:t xml:space="preserve"> je povinen dodržovat veškeré platné a účinné právní předpisy upravující podmínky praní a ošetřov</w:t>
      </w:r>
      <w:r w:rsidR="000E3998" w:rsidRPr="00FE597B">
        <w:rPr>
          <w:b w:val="0"/>
        </w:rPr>
        <w:t>ání zdravotnického prádla, zejména</w:t>
      </w:r>
      <w:r w:rsidR="00696D62" w:rsidRPr="00FE597B">
        <w:rPr>
          <w:b w:val="0"/>
        </w:rPr>
        <w:t xml:space="preserve"> </w:t>
      </w:r>
      <w:r w:rsidR="00E147D8" w:rsidRPr="00FE597B">
        <w:rPr>
          <w:rFonts w:eastAsia="Calibri"/>
          <w:b w:val="0"/>
          <w:color w:val="000000"/>
        </w:rPr>
        <w:t>požadavky zákona č. 258/2000 Sb., o ochraně veřejného zdraví, v platném znění a jeho prováděcího předpisu, tj. vyhlášky č. 306/2012 Sb., o podmínkách předcházení vzniku a šíření infekčních onemocnění a o hygienických požadavcích na provoz zdravotnických zařízení a ústavů sociální péče (dále jen „vyhláška č. 306/2012 Sb.“).</w:t>
      </w:r>
    </w:p>
    <w:p w:rsidR="005E23B0" w:rsidRDefault="00615E2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692234">
        <w:rPr>
          <w:b w:val="0"/>
        </w:rPr>
        <w:t>Poskytovatel</w:t>
      </w:r>
      <w:r w:rsidR="00696D62" w:rsidRPr="00692234">
        <w:rPr>
          <w:b w:val="0"/>
        </w:rPr>
        <w:t xml:space="preserve"> odpovídá za to, že</w:t>
      </w:r>
      <w:r w:rsidR="00E147D8">
        <w:rPr>
          <w:b w:val="0"/>
        </w:rPr>
        <w:t xml:space="preserve"> svěřené prádlo bude p</w:t>
      </w:r>
      <w:r w:rsidR="00696D62" w:rsidRPr="00692234">
        <w:rPr>
          <w:b w:val="0"/>
        </w:rPr>
        <w:t xml:space="preserve">o praní a dalších procesech bakteriologicky čisté tak, aby bylo vyloučeno riziko reinfekce. </w:t>
      </w:r>
    </w:p>
    <w:p w:rsidR="002649E5" w:rsidRPr="009160C5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9160C5">
        <w:rPr>
          <w:b w:val="0"/>
        </w:rPr>
        <w:t xml:space="preserve">Poskytovatel je povinen odsouhlasit s objednatelem </w:t>
      </w:r>
      <w:r w:rsidR="009160C5">
        <w:rPr>
          <w:b w:val="0"/>
        </w:rPr>
        <w:t xml:space="preserve">případné </w:t>
      </w:r>
      <w:r w:rsidRPr="009160C5">
        <w:rPr>
          <w:b w:val="0"/>
        </w:rPr>
        <w:t xml:space="preserve">změny subdodavatelů podílejících se na veřejné zakázce oproti osobám uvedených v nabídce s tím, že poskytovatel je povinen písemně objednatele požádat a zdůvodnit potřebu změny, </w:t>
      </w:r>
      <w:proofErr w:type="spellStart"/>
      <w:r w:rsidRPr="009160C5">
        <w:rPr>
          <w:b w:val="0"/>
        </w:rPr>
        <w:t>event</w:t>
      </w:r>
      <w:proofErr w:type="spellEnd"/>
      <w:r w:rsidRPr="009160C5">
        <w:rPr>
          <w:b w:val="0"/>
        </w:rPr>
        <w:t xml:space="preserve">. rozšíření okruhu těchto osob. Objednatel není povinen návrh poskytovatele odsouhlasit, neshledá-li, že tento postup je pro něj výhodný. </w:t>
      </w:r>
    </w:p>
    <w:p w:rsidR="002649E5" w:rsidRPr="009160C5" w:rsidRDefault="002649E5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9160C5">
        <w:rPr>
          <w:b w:val="0"/>
        </w:rPr>
        <w:t xml:space="preserve">Poskytovatel je povinen zajistit, že subdodavatelé poskytnou subjektům provádějícím audit a kontrolu a kontrolním orgánům dle zákona č. 320/2001 Sb. o finanční kontrole, ve znění pozdějších předpisů, nezbytné informace týkající se jejich činností a plnění, které v rámci této smlouvy vykonávají pro poskytovatele. V případě porušení tohoto ustanovení nejsou dílčí objednatelé povinni uhradit činnosti a plnění provedené subdodavatelem. </w:t>
      </w:r>
    </w:p>
    <w:p w:rsidR="00087CC9" w:rsidRDefault="002649E5" w:rsidP="00087CC9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9160C5">
        <w:rPr>
          <w:b w:val="0"/>
        </w:rPr>
        <w:t>Poskytovatel je povi</w:t>
      </w:r>
      <w:r w:rsidR="009160C5">
        <w:rPr>
          <w:b w:val="0"/>
        </w:rPr>
        <w:t xml:space="preserve">nen zasílat </w:t>
      </w:r>
      <w:r w:rsidRPr="009160C5">
        <w:rPr>
          <w:b w:val="0"/>
        </w:rPr>
        <w:t>Centrálnímu nákupu, příspěvkové organizaci</w:t>
      </w:r>
      <w:r w:rsidR="004E75B7">
        <w:rPr>
          <w:b w:val="0"/>
        </w:rPr>
        <w:t xml:space="preserve">, IČ: </w:t>
      </w:r>
      <w:r w:rsidR="004E75B7" w:rsidRPr="004E75B7">
        <w:rPr>
          <w:rFonts w:eastAsia="Calibri"/>
          <w:b w:val="0"/>
        </w:rPr>
        <w:t>72046635</w:t>
      </w:r>
      <w:r w:rsidR="004E75B7">
        <w:rPr>
          <w:rFonts w:eastAsia="Calibri"/>
          <w:b w:val="0"/>
        </w:rPr>
        <w:t xml:space="preserve"> (dále jen „CNPK“),</w:t>
      </w:r>
      <w:r w:rsidRPr="009160C5">
        <w:rPr>
          <w:b w:val="0"/>
        </w:rPr>
        <w:t xml:space="preserve"> za každ</w:t>
      </w:r>
      <w:r w:rsidR="004E75B7">
        <w:rPr>
          <w:b w:val="0"/>
        </w:rPr>
        <w:t xml:space="preserve">ý uplynulý </w:t>
      </w:r>
      <w:r w:rsidRPr="009160C5">
        <w:rPr>
          <w:b w:val="0"/>
        </w:rPr>
        <w:t xml:space="preserve">kalendářní </w:t>
      </w:r>
      <w:r w:rsidR="004E75B7">
        <w:rPr>
          <w:b w:val="0"/>
        </w:rPr>
        <w:t>rok</w:t>
      </w:r>
      <w:r w:rsidRPr="009160C5">
        <w:rPr>
          <w:b w:val="0"/>
        </w:rPr>
        <w:t xml:space="preserve"> plnění smlouvy písemně celkový přehled realiz</w:t>
      </w:r>
      <w:r w:rsidR="004E75B7">
        <w:rPr>
          <w:b w:val="0"/>
        </w:rPr>
        <w:t xml:space="preserve">ovaných služeb na základě této </w:t>
      </w:r>
      <w:r w:rsidRPr="009160C5">
        <w:rPr>
          <w:b w:val="0"/>
        </w:rPr>
        <w:t>smlouvy</w:t>
      </w:r>
      <w:r w:rsidR="00087CC9">
        <w:rPr>
          <w:b w:val="0"/>
        </w:rPr>
        <w:t xml:space="preserve"> spolu s celkovým přehledem </w:t>
      </w:r>
      <w:r w:rsidR="00087CC9" w:rsidRPr="00087CC9">
        <w:rPr>
          <w:b w:val="0"/>
        </w:rPr>
        <w:t>subdodavatelů, jimž uchazeč za plnění subdodávky k předmětné veřejné zakázce uhradil více než 10% z ceny této veřejné zakázky</w:t>
      </w:r>
      <w:r w:rsidRPr="00087CC9">
        <w:rPr>
          <w:b w:val="0"/>
        </w:rPr>
        <w:t>.</w:t>
      </w:r>
      <w:r w:rsidRPr="009160C5">
        <w:rPr>
          <w:b w:val="0"/>
        </w:rPr>
        <w:t xml:space="preserve"> Tento přehled musí být doručen buď </w:t>
      </w:r>
      <w:r w:rsidR="004E75B7">
        <w:rPr>
          <w:b w:val="0"/>
        </w:rPr>
        <w:t xml:space="preserve">v </w:t>
      </w:r>
      <w:r w:rsidRPr="009160C5">
        <w:rPr>
          <w:b w:val="0"/>
        </w:rPr>
        <w:t xml:space="preserve">listinné podobě podepsaný osobou oprávněnou jednat jménem či za poskytovatele na adresu sídla CNPK, nebo elektronicky podepsaný zaručeným elektronickým podpisem osobou oprávněnou jednat jménem či za poskytovatele na adresu </w:t>
      </w:r>
      <w:hyperlink r:id="rId8" w:history="1">
        <w:r w:rsidRPr="009160C5">
          <w:rPr>
            <w:rStyle w:val="Hypertextovodkaz"/>
            <w:b w:val="0"/>
          </w:rPr>
          <w:t>cnpk@cnpk.cz</w:t>
        </w:r>
      </w:hyperlink>
      <w:r w:rsidRPr="009160C5">
        <w:rPr>
          <w:b w:val="0"/>
        </w:rPr>
        <w:t xml:space="preserve"> do </w:t>
      </w:r>
      <w:r w:rsidR="00087CC9">
        <w:rPr>
          <w:b w:val="0"/>
        </w:rPr>
        <w:t>28</w:t>
      </w:r>
      <w:r w:rsidRPr="009160C5">
        <w:rPr>
          <w:b w:val="0"/>
        </w:rPr>
        <w:t xml:space="preserve">. </w:t>
      </w:r>
      <w:r w:rsidR="00087CC9">
        <w:rPr>
          <w:b w:val="0"/>
        </w:rPr>
        <w:t>února</w:t>
      </w:r>
      <w:r w:rsidR="004E75B7">
        <w:rPr>
          <w:b w:val="0"/>
        </w:rPr>
        <w:t xml:space="preserve"> </w:t>
      </w:r>
      <w:r w:rsidRPr="009160C5">
        <w:rPr>
          <w:b w:val="0"/>
        </w:rPr>
        <w:t xml:space="preserve">následujícího </w:t>
      </w:r>
      <w:r w:rsidR="004E75B7">
        <w:rPr>
          <w:b w:val="0"/>
        </w:rPr>
        <w:t xml:space="preserve">kalendářního roku. </w:t>
      </w:r>
      <w:r w:rsidRPr="009160C5">
        <w:rPr>
          <w:b w:val="0"/>
        </w:rPr>
        <w:t xml:space="preserve">V přehledu služeb </w:t>
      </w:r>
      <w:r w:rsidR="004F1DE6">
        <w:rPr>
          <w:b w:val="0"/>
        </w:rPr>
        <w:t xml:space="preserve">pro konkrétní zdravotnické zařízení </w:t>
      </w:r>
      <w:r w:rsidRPr="009160C5">
        <w:rPr>
          <w:b w:val="0"/>
        </w:rPr>
        <w:t>musí být uveden</w:t>
      </w:r>
      <w:r w:rsidR="004F1DE6">
        <w:rPr>
          <w:b w:val="0"/>
        </w:rPr>
        <w:t xml:space="preserve">a </w:t>
      </w:r>
      <w:r w:rsidRPr="009160C5">
        <w:rPr>
          <w:b w:val="0"/>
        </w:rPr>
        <w:t>min</w:t>
      </w:r>
      <w:r w:rsidR="004F1DE6">
        <w:rPr>
          <w:b w:val="0"/>
        </w:rPr>
        <w:t xml:space="preserve">imálně </w:t>
      </w:r>
      <w:r w:rsidRPr="004F1DE6">
        <w:rPr>
          <w:b w:val="0"/>
        </w:rPr>
        <w:t>identifikace realizovaných služeb,</w:t>
      </w:r>
      <w:r w:rsidR="004F1DE6" w:rsidRPr="004F1DE6">
        <w:rPr>
          <w:b w:val="0"/>
        </w:rPr>
        <w:t xml:space="preserve"> </w:t>
      </w:r>
      <w:r w:rsidRPr="004F1DE6">
        <w:rPr>
          <w:b w:val="0"/>
        </w:rPr>
        <w:t>množství realizovaných služeb v daném období (počet vypraných kg),</w:t>
      </w:r>
      <w:r w:rsidR="004F1DE6" w:rsidRPr="004F1DE6">
        <w:rPr>
          <w:b w:val="0"/>
        </w:rPr>
        <w:t xml:space="preserve"> </w:t>
      </w:r>
      <w:r w:rsidRPr="004F1DE6">
        <w:rPr>
          <w:b w:val="0"/>
        </w:rPr>
        <w:t>skutečně uh</w:t>
      </w:r>
      <w:r w:rsidR="004F1DE6" w:rsidRPr="004F1DE6">
        <w:rPr>
          <w:b w:val="0"/>
        </w:rPr>
        <w:t xml:space="preserve">razená cena za objednané služby. </w:t>
      </w:r>
      <w:r w:rsidRPr="004F1DE6">
        <w:rPr>
          <w:b w:val="0"/>
        </w:rPr>
        <w:t>Přehled musí být předložen ve formátu MS Excel nebo s ním kompatibilním.</w:t>
      </w:r>
    </w:p>
    <w:p w:rsidR="002649E5" w:rsidRDefault="002649E5" w:rsidP="002649E5">
      <w:pPr>
        <w:ind w:firstLine="567"/>
        <w:rPr>
          <w:rFonts w:ascii="Arial" w:hAnsi="Arial" w:cs="Arial"/>
          <w:sz w:val="20"/>
          <w:szCs w:val="20"/>
        </w:rPr>
      </w:pPr>
    </w:p>
    <w:p w:rsidR="001D1BCB" w:rsidRDefault="002649E5" w:rsidP="002649E5">
      <w:pPr>
        <w:pStyle w:val="Nadpis1"/>
      </w:pPr>
      <w:r>
        <w:t>POVINNOST</w:t>
      </w:r>
      <w:r w:rsidR="002350D6" w:rsidRPr="002350D6">
        <w:t>I OBJEDNATELE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zabezpečit vyloučení cizích předmětů (propisovací tužky, hodinky, injekční jehly, plastové obaly apod.)</w:t>
      </w:r>
      <w:r w:rsidR="00E147D8" w:rsidRPr="004F1DE6">
        <w:rPr>
          <w:b w:val="0"/>
        </w:rPr>
        <w:t>.</w:t>
      </w:r>
    </w:p>
    <w:p w:rsidR="001D1BCB" w:rsidRPr="004F1DE6" w:rsidRDefault="00E147D8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n</w:t>
      </w:r>
      <w:r w:rsidR="001C7574" w:rsidRPr="004F1DE6">
        <w:rPr>
          <w:b w:val="0"/>
        </w:rPr>
        <w:t>ebalit ke znečištěnému prádlu plenkové kalhotky a jiný materiál z buničiny.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>Objednatel je povinen řádně značit prádlo</w:t>
      </w:r>
      <w:r w:rsidR="00663447" w:rsidRPr="004F1DE6">
        <w:rPr>
          <w:b w:val="0"/>
        </w:rPr>
        <w:t>, aby byla možná identifikace objednatele (popř. konkrétního pracoviště, jména atd.)</w:t>
      </w:r>
      <w:r w:rsidRPr="004F1DE6">
        <w:rPr>
          <w:b w:val="0"/>
        </w:rPr>
        <w:t xml:space="preserve"> a balit pr</w:t>
      </w:r>
      <w:r w:rsidR="00E150DD" w:rsidRPr="004F1DE6">
        <w:rPr>
          <w:b w:val="0"/>
        </w:rPr>
        <w:t>ádlo</w:t>
      </w:r>
      <w:r w:rsidR="00440EE7" w:rsidRPr="004F1DE6">
        <w:rPr>
          <w:b w:val="0"/>
        </w:rPr>
        <w:t xml:space="preserve"> do přepravních boxů</w:t>
      </w:r>
      <w:r w:rsidR="00AA4250" w:rsidRPr="004F1DE6">
        <w:rPr>
          <w:b w:val="0"/>
        </w:rPr>
        <w:t xml:space="preserve"> a předávat ho společně se seznamem předávaného prádla proti podpisu </w:t>
      </w:r>
      <w:r w:rsidR="00615E21" w:rsidRPr="004F1DE6">
        <w:rPr>
          <w:b w:val="0"/>
        </w:rPr>
        <w:t>poskytovatel</w:t>
      </w:r>
      <w:r w:rsidR="00AA4250" w:rsidRPr="004F1DE6">
        <w:rPr>
          <w:b w:val="0"/>
        </w:rPr>
        <w:t>i</w:t>
      </w:r>
      <w:r w:rsidR="00440EE7" w:rsidRPr="004F1DE6">
        <w:rPr>
          <w:b w:val="0"/>
        </w:rPr>
        <w:t>.</w:t>
      </w:r>
    </w:p>
    <w:p w:rsidR="001D1BCB" w:rsidRPr="004F1DE6" w:rsidRDefault="001C7574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 xml:space="preserve">Objednatel se zavazuje řádně a včas ošetřené prádlo a textilie převzít a uhradit </w:t>
      </w:r>
      <w:r w:rsidR="00615E21" w:rsidRPr="004F1DE6">
        <w:rPr>
          <w:b w:val="0"/>
        </w:rPr>
        <w:t>poskytovatel</w:t>
      </w:r>
      <w:r w:rsidRPr="004F1DE6">
        <w:rPr>
          <w:b w:val="0"/>
        </w:rPr>
        <w:t xml:space="preserve">i cenu </w:t>
      </w:r>
      <w:r w:rsidR="00E147D8" w:rsidRPr="004F1DE6">
        <w:rPr>
          <w:b w:val="0"/>
        </w:rPr>
        <w:t>za služby</w:t>
      </w:r>
      <w:r w:rsidRPr="004F1DE6">
        <w:rPr>
          <w:b w:val="0"/>
        </w:rPr>
        <w:t>. O předání bude pořízen zápis podepsaný pověřenými pracovníky obou stran.</w:t>
      </w:r>
    </w:p>
    <w:p w:rsidR="001D1BCB" w:rsidRPr="004F1DE6" w:rsidRDefault="009A09CE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4F1DE6">
        <w:rPr>
          <w:b w:val="0"/>
        </w:rPr>
        <w:t xml:space="preserve">Objednatel je oprávněn prostřednictvím pověřené osoby provádět kontroly řádného provádění </w:t>
      </w:r>
      <w:r w:rsidR="00E147D8" w:rsidRPr="004F1DE6">
        <w:rPr>
          <w:b w:val="0"/>
        </w:rPr>
        <w:t>služeb</w:t>
      </w:r>
      <w:r w:rsidRPr="004F1DE6">
        <w:rPr>
          <w:b w:val="0"/>
        </w:rPr>
        <w:t>.</w:t>
      </w:r>
    </w:p>
    <w:p w:rsidR="009903BA" w:rsidRDefault="009903BA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rFonts w:eastAsia="MS Mincho"/>
          <w:b w:val="0"/>
        </w:rPr>
      </w:pPr>
      <w:r w:rsidRPr="004F1DE6">
        <w:rPr>
          <w:rFonts w:eastAsia="MS Mincho"/>
          <w:b w:val="0"/>
        </w:rPr>
        <w:t>Objednatel se zavazuje balit prádlo tak, aby váha je</w:t>
      </w:r>
      <w:r w:rsidR="00E147D8" w:rsidRPr="004F1DE6">
        <w:rPr>
          <w:rFonts w:eastAsia="MS Mincho"/>
          <w:b w:val="0"/>
        </w:rPr>
        <w:t>dnoho balíku nepřekročila 15 kg.</w:t>
      </w:r>
    </w:p>
    <w:p w:rsidR="00B33DF6" w:rsidRDefault="00B33DF6" w:rsidP="00B33DF6"/>
    <w:p w:rsidR="00B33DF6" w:rsidRDefault="00B33DF6" w:rsidP="00B33DF6"/>
    <w:p w:rsidR="00B33DF6" w:rsidRDefault="00B33DF6" w:rsidP="00B33DF6"/>
    <w:p w:rsidR="00B33DF6" w:rsidRPr="00B33DF6" w:rsidRDefault="00B33DF6" w:rsidP="00B33DF6"/>
    <w:p w:rsidR="0073037B" w:rsidRPr="0073037B" w:rsidRDefault="0073037B" w:rsidP="0073037B">
      <w:pPr>
        <w:pStyle w:val="Nadpis1"/>
      </w:pPr>
      <w:r>
        <w:lastRenderedPageBreak/>
        <w:t>CENOVÉ PODMÍNKY</w:t>
      </w:r>
    </w:p>
    <w:p w:rsidR="0073037B" w:rsidRDefault="007303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</w:pPr>
      <w:r w:rsidRPr="0073037B">
        <w:rPr>
          <w:b w:val="0"/>
        </w:rPr>
        <w:t>Jednotková nabídková cena</w:t>
      </w:r>
      <w:r w:rsidRPr="001A4026" w:rsidDel="00952802">
        <w:t xml:space="preserve"> </w:t>
      </w:r>
      <w:r w:rsidRPr="0073037B">
        <w:rPr>
          <w:b w:val="0"/>
        </w:rPr>
        <w:t xml:space="preserve">za služby spojené s praním prádla </w:t>
      </w:r>
      <w:r w:rsidR="007C7235">
        <w:rPr>
          <w:b w:val="0"/>
        </w:rPr>
        <w:t>v Kč bez DPH</w:t>
      </w:r>
      <w:r w:rsidRPr="0073037B">
        <w:rPr>
          <w:b w:val="0"/>
        </w:rPr>
        <w:t xml:space="preserve"> </w:t>
      </w:r>
      <w:r w:rsidRPr="001A4026">
        <w:t xml:space="preserve">činí </w:t>
      </w:r>
      <w:r w:rsidRPr="0073037B">
        <w:rPr>
          <w:b w:val="0"/>
          <w:color w:val="FF0000"/>
        </w:rPr>
        <w:t>DOPLNIT</w:t>
      </w:r>
      <w:r w:rsidRPr="001A4026">
        <w:t xml:space="preserve">,-- Kč (slovy: </w:t>
      </w:r>
      <w:r w:rsidRPr="0073037B">
        <w:rPr>
          <w:b w:val="0"/>
          <w:color w:val="FF0000"/>
        </w:rPr>
        <w:t>DOPLNIT</w:t>
      </w:r>
      <w:r w:rsidRPr="001A4026">
        <w:t>-korun-českých) bez DPH</w:t>
      </w:r>
      <w:r w:rsidR="007C7235">
        <w:t xml:space="preserve"> </w:t>
      </w:r>
      <w:r w:rsidR="007C7235" w:rsidRPr="0073037B">
        <w:rPr>
          <w:b w:val="0"/>
        </w:rPr>
        <w:t>za 1 Kg čistého suchého prádla</w:t>
      </w:r>
      <w:r w:rsidR="007C7235">
        <w:rPr>
          <w:b w:val="0"/>
        </w:rPr>
        <w:t>.</w:t>
      </w:r>
      <w:r w:rsidR="00942A0C">
        <w:rPr>
          <w:b w:val="0"/>
        </w:rPr>
        <w:t xml:space="preserve"> </w:t>
      </w:r>
      <w:r w:rsidR="00942A0C" w:rsidRPr="00FE597B">
        <w:rPr>
          <w:b w:val="0"/>
        </w:rPr>
        <w:t>K této ceně bude účtováno DPH v aktuálně platné výši.</w:t>
      </w:r>
    </w:p>
    <w:p w:rsidR="0073037B" w:rsidRPr="00701911" w:rsidRDefault="00942A0C" w:rsidP="00942A0C">
      <w:pPr>
        <w:ind w:left="567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701911">
        <w:rPr>
          <w:rFonts w:ascii="Arial" w:hAnsi="Arial" w:cs="Arial"/>
          <w:b/>
          <w:i/>
          <w:color w:val="FF0000"/>
          <w:sz w:val="20"/>
          <w:szCs w:val="20"/>
        </w:rPr>
        <w:t xml:space="preserve">Pozn.: </w:t>
      </w:r>
      <w:r w:rsidR="0073037B" w:rsidRPr="00701911">
        <w:rPr>
          <w:rFonts w:ascii="Arial" w:hAnsi="Arial" w:cs="Arial"/>
          <w:b/>
          <w:i/>
          <w:color w:val="FF0000"/>
          <w:sz w:val="20"/>
          <w:szCs w:val="20"/>
        </w:rPr>
        <w:t xml:space="preserve">Pokud se jednotková cena pro jednotlivé položky sortimentu prádla liší, může </w:t>
      </w:r>
      <w:r w:rsidRPr="00701911">
        <w:rPr>
          <w:rFonts w:ascii="Arial" w:hAnsi="Arial" w:cs="Arial"/>
          <w:b/>
          <w:i/>
          <w:color w:val="FF0000"/>
          <w:sz w:val="20"/>
          <w:szCs w:val="20"/>
        </w:rPr>
        <w:t xml:space="preserve">zde být doplněn pouze odkaz na </w:t>
      </w:r>
      <w:r w:rsidR="00701911" w:rsidRPr="00701911">
        <w:rPr>
          <w:rFonts w:ascii="Arial" w:hAnsi="Arial" w:cs="Arial"/>
          <w:b/>
          <w:i/>
          <w:color w:val="FF0000"/>
          <w:sz w:val="20"/>
          <w:szCs w:val="20"/>
        </w:rPr>
        <w:t xml:space="preserve">Přílohu č. 1 této smlouvy, tj. na </w:t>
      </w:r>
      <w:r w:rsidRPr="00701911">
        <w:rPr>
          <w:rFonts w:ascii="Arial" w:hAnsi="Arial" w:cs="Arial"/>
          <w:b/>
          <w:i/>
          <w:color w:val="FF0000"/>
          <w:sz w:val="20"/>
          <w:szCs w:val="20"/>
        </w:rPr>
        <w:t>Ceník a sortiment prádla</w:t>
      </w:r>
      <w:r w:rsidR="00701911" w:rsidRPr="00701911">
        <w:rPr>
          <w:rFonts w:ascii="Arial" w:hAnsi="Arial" w:cs="Arial"/>
          <w:b/>
          <w:i/>
          <w:color w:val="FF0000"/>
          <w:sz w:val="20"/>
          <w:szCs w:val="20"/>
        </w:rPr>
        <w:t>, kde bude jednotková cena u jednotlivých položek vyplněna</w:t>
      </w:r>
      <w:r w:rsidR="0073037B" w:rsidRPr="00701911">
        <w:rPr>
          <w:rFonts w:ascii="Arial" w:hAnsi="Arial" w:cs="Arial"/>
          <w:b/>
          <w:i/>
          <w:color w:val="FF0000"/>
          <w:sz w:val="20"/>
          <w:szCs w:val="20"/>
        </w:rPr>
        <w:t>.</w:t>
      </w:r>
    </w:p>
    <w:p w:rsidR="007C7235" w:rsidRDefault="00A94BFF" w:rsidP="007C7235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3037B">
        <w:rPr>
          <w:b w:val="0"/>
        </w:rPr>
        <w:t xml:space="preserve">Jednotková nabídková cena za služby spojené s praním prádla v Kč bez DPH za 1 Kg čistého suchého prádla je stanovena po dobu </w:t>
      </w:r>
      <w:r w:rsidR="007C7235">
        <w:rPr>
          <w:b w:val="0"/>
        </w:rPr>
        <w:t xml:space="preserve">4 let </w:t>
      </w:r>
      <w:r w:rsidRPr="0073037B">
        <w:rPr>
          <w:b w:val="0"/>
        </w:rPr>
        <w:t xml:space="preserve">plnění veřejné zakázky jako cena nejvýše přípustná se započtením veškerých nákladů, rizik, zisku a finančních vlivů (např. inflace, dopravy zboží) v souladu s podmínkami uvedenými v zadávací dokumentaci a není možné ji </w:t>
      </w:r>
      <w:r w:rsidR="00942A0C">
        <w:rPr>
          <w:b w:val="0"/>
        </w:rPr>
        <w:t xml:space="preserve">po dobu těchto 4 let </w:t>
      </w:r>
      <w:r w:rsidRPr="0073037B">
        <w:rPr>
          <w:b w:val="0"/>
        </w:rPr>
        <w:t xml:space="preserve">měnit. </w:t>
      </w:r>
    </w:p>
    <w:p w:rsidR="00701911" w:rsidRDefault="00942A0C" w:rsidP="00701911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942A0C">
        <w:rPr>
          <w:b w:val="0"/>
        </w:rPr>
        <w:t xml:space="preserve">Po uplynutí 4 let (tj. nejdříve </w:t>
      </w:r>
      <w:r w:rsidR="009D3F50">
        <w:rPr>
          <w:b w:val="0"/>
        </w:rPr>
        <w:t>od</w:t>
      </w:r>
      <w:r w:rsidRPr="00942A0C">
        <w:rPr>
          <w:b w:val="0"/>
        </w:rPr>
        <w:t> </w:t>
      </w:r>
      <w:proofErr w:type="gramStart"/>
      <w:r w:rsidRPr="00942A0C">
        <w:rPr>
          <w:b w:val="0"/>
        </w:rPr>
        <w:t>1.1.2018</w:t>
      </w:r>
      <w:proofErr w:type="gramEnd"/>
      <w:r w:rsidRPr="00942A0C">
        <w:rPr>
          <w:b w:val="0"/>
        </w:rPr>
        <w:t xml:space="preserve">) </w:t>
      </w:r>
      <w:r w:rsidR="007C7235" w:rsidRPr="00942A0C">
        <w:rPr>
          <w:b w:val="0"/>
        </w:rPr>
        <w:t xml:space="preserve">může </w:t>
      </w:r>
      <w:r w:rsidRPr="00942A0C">
        <w:rPr>
          <w:b w:val="0"/>
        </w:rPr>
        <w:t xml:space="preserve">poskytovatel po dohodě s objednatelem zvýšit jednotkovou cenu za poskytované služby </w:t>
      </w:r>
      <w:r w:rsidRPr="00942A0C">
        <w:rPr>
          <w:b w:val="0"/>
          <w:bCs/>
        </w:rPr>
        <w:t xml:space="preserve">stanovenou </w:t>
      </w:r>
      <w:r w:rsidRPr="00942A0C">
        <w:rPr>
          <w:b w:val="0"/>
        </w:rPr>
        <w:t>za 1 Kg čistého suchého prádla</w:t>
      </w:r>
      <w:r w:rsidRPr="00942A0C">
        <w:rPr>
          <w:b w:val="0"/>
          <w:bCs/>
        </w:rPr>
        <w:t xml:space="preserve"> </w:t>
      </w:r>
      <w:r w:rsidRPr="00942A0C">
        <w:rPr>
          <w:b w:val="0"/>
        </w:rPr>
        <w:t xml:space="preserve">o roční míru inflace za předchozí kalendářní rok vyjádřenou přírůstkem průměrného ročního indexu spotřebitelských cen (vyjadřující procentní změnu průměrné cenové hladiny za 12 posledních měsíců proti průměru 12-ti předchozích měsíců) a vyhlášenou Českým statistickým úřadem. Změnu ceny na základě inflační doložky musí vybraný uchazeč oznámit zadavateli nejpozději do 31. </w:t>
      </w:r>
      <w:r w:rsidR="009D3F50">
        <w:rPr>
          <w:b w:val="0"/>
        </w:rPr>
        <w:t>1</w:t>
      </w:r>
      <w:r w:rsidRPr="00942A0C">
        <w:rPr>
          <w:b w:val="0"/>
        </w:rPr>
        <w:t>. příslušného roku, pokud tak neučiní, zůstává cena nezměněna.</w:t>
      </w:r>
    </w:p>
    <w:p w:rsidR="00701911" w:rsidRPr="00701911" w:rsidRDefault="00701911" w:rsidP="00701911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01911">
        <w:rPr>
          <w:b w:val="0"/>
        </w:rPr>
        <w:t xml:space="preserve">Navýšení jednotkové nabídkové ceny v průběhu celé doby trvání smlouvy je možné v případě zvýšení zákonem stanovené sazby daně z přidané hodnoty podle zákona 235/2004 Sb., o dani z přidané hodnoty. V takovém případě bude zvýšena cena s DPH o příslušné navýšení sazby DPH ode dne účinnosti nové zákonné úpravy DPH. </w:t>
      </w:r>
    </w:p>
    <w:p w:rsidR="00701911" w:rsidRPr="00701911" w:rsidRDefault="00701911" w:rsidP="00701911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701911">
        <w:rPr>
          <w:b w:val="0"/>
        </w:rPr>
        <w:t xml:space="preserve">Objednatel je oprávněn požadovat doložení změny ceny kalkulací ceny, rozkladem ceny, případně doložením faktury za služby dle skutečnosti. </w:t>
      </w:r>
    </w:p>
    <w:p w:rsidR="00A94BFF" w:rsidRPr="00A94BFF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A94BFF">
        <w:rPr>
          <w:b w:val="0"/>
        </w:rPr>
        <w:t>Veškeré ceny v této smlouvě</w:t>
      </w:r>
      <w:r w:rsidR="006A6D4D">
        <w:rPr>
          <w:b w:val="0"/>
        </w:rPr>
        <w:t xml:space="preserve"> a jejích přílohách</w:t>
      </w:r>
      <w:r w:rsidRPr="00A94BFF">
        <w:rPr>
          <w:b w:val="0"/>
        </w:rPr>
        <w:t xml:space="preserve"> jsou uváděny v českých korunách, jsou v nich obsaženy veškeré náklady spojené s realizací požadovaného plnění.</w:t>
      </w:r>
    </w:p>
    <w:p w:rsidR="00A94BFF" w:rsidRPr="00FE597B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Objednatel zaplatí poskytovateli odměnu na zákl</w:t>
      </w:r>
      <w:r w:rsidR="00942A0C">
        <w:rPr>
          <w:b w:val="0"/>
        </w:rPr>
        <w:t>adě skutečně provedených služeb.</w:t>
      </w:r>
    </w:p>
    <w:p w:rsidR="00A94BFF" w:rsidRDefault="00A94BFF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Objednatel není povinen vyčerpat určitý minimální objem poskytovaných služeb. </w:t>
      </w:r>
    </w:p>
    <w:p w:rsidR="00701911" w:rsidRPr="00701911" w:rsidRDefault="00701911" w:rsidP="00701911"/>
    <w:p w:rsidR="002A07D0" w:rsidRPr="002350D6" w:rsidRDefault="002350D6" w:rsidP="00DA44BA">
      <w:pPr>
        <w:pStyle w:val="Nadpis1"/>
      </w:pPr>
      <w:r w:rsidRPr="002350D6">
        <w:t>PLATEBNÍ PODMÍNKY</w:t>
      </w:r>
    </w:p>
    <w:p w:rsidR="00BD74E7" w:rsidRPr="00FE597B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Poskytovateli nebude poskytována žádná záloha. </w:t>
      </w:r>
    </w:p>
    <w:p w:rsidR="00210999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Fakturace bude probíhat 1 x měsíčně, vždy za služby poskytnuté poskytovatelem za měsíc předchozí. </w:t>
      </w:r>
    </w:p>
    <w:p w:rsidR="00800144" w:rsidRPr="00FE597B" w:rsidRDefault="00800144" w:rsidP="00800144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Cena bude objednatelem zaplacena na základě daňového dokladu (dále jen faktury) vystavené poskytovatelem</w:t>
      </w:r>
      <w:r>
        <w:rPr>
          <w:b w:val="0"/>
        </w:rPr>
        <w:t xml:space="preserve"> </w:t>
      </w:r>
      <w:r w:rsidRPr="00FE597B">
        <w:rPr>
          <w:b w:val="0"/>
        </w:rPr>
        <w:t>v souladu se skutečně poskytnutými službami.</w:t>
      </w:r>
    </w:p>
    <w:p w:rsidR="00210999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Faktura musí obsahovat veškeré náležitosti daňového dokladu, zejména pak název, sídlo a identifikační číslo Objednatele a Poskytovatele, údaj o zápisu do obchodního rejstříku, označení svozového místa, předmět plnění, bankovní spojení poskytovatele, udání ceny za kilogram praného/čištěného prádla, celkové množství praného/čištěného prádla, účtovanou částku, údaje pro zúčtování DPH, čísla písemných potvrzení o převzetí prádla, razítko a podpis a současně s ní musí být objednateli doručeny kopie všech písemných potvrzení </w:t>
      </w:r>
      <w:r w:rsidR="00BD74E7" w:rsidRPr="00FE597B">
        <w:rPr>
          <w:b w:val="0"/>
        </w:rPr>
        <w:t xml:space="preserve">(zápisů) </w:t>
      </w:r>
      <w:r w:rsidRPr="00FE597B">
        <w:rPr>
          <w:b w:val="0"/>
        </w:rPr>
        <w:t>o převzetí vypraného/vyčištěného prádla, na základě kterých je cena služeb účtována. Faktura bude Objednateli zaslána ve dvojím vyhotovení na adresu sídla Objednatele uvedenou v záhlaví této Smlouvy.</w:t>
      </w:r>
    </w:p>
    <w:p w:rsidR="00BD74E7" w:rsidRPr="00FE597B" w:rsidRDefault="00210999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Objednatel uh</w:t>
      </w:r>
      <w:r w:rsidR="00BD74E7" w:rsidRPr="00FE597B">
        <w:rPr>
          <w:b w:val="0"/>
        </w:rPr>
        <w:t xml:space="preserve">radí řádně předloženou fakturu </w:t>
      </w:r>
      <w:r w:rsidRPr="00FE597B">
        <w:rPr>
          <w:b w:val="0"/>
        </w:rPr>
        <w:t xml:space="preserve">po jejím obdržení převodem na účet poskytovatele uvedený v záhlaví smlouvy. Dnem splnění lhůty splatnosti se rozumí den uvedený na přijatém příkazu k úhradě, který předal objednatel svému peněžnímu ústavu a byl jím potvrzen. </w:t>
      </w:r>
    </w:p>
    <w:p w:rsidR="00FE597B" w:rsidRPr="00FE597B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Splatnost faktury nesmí být ke dni jejich doručení objednateli kratší než:</w:t>
      </w:r>
      <w:r w:rsidRPr="00FE597B">
        <w:rPr>
          <w:b w:val="0"/>
          <w:color w:val="FF0000"/>
        </w:rPr>
        <w:t xml:space="preserve"> DOPLNIT </w:t>
      </w:r>
      <w:r w:rsidR="0073037B">
        <w:rPr>
          <w:b w:val="0"/>
          <w:color w:val="FF0000"/>
        </w:rPr>
        <w:t>(</w:t>
      </w:r>
      <w:r w:rsidRPr="00FE597B">
        <w:rPr>
          <w:b w:val="0"/>
          <w:color w:val="FF0000"/>
        </w:rPr>
        <w:t>v souladu s přílohou č. 2</w:t>
      </w:r>
      <w:r w:rsidR="00ED21A5">
        <w:rPr>
          <w:b w:val="0"/>
          <w:color w:val="FF0000"/>
        </w:rPr>
        <w:t>4</w:t>
      </w:r>
      <w:r w:rsidR="0073037B">
        <w:rPr>
          <w:b w:val="0"/>
          <w:color w:val="FF0000"/>
        </w:rPr>
        <w:t xml:space="preserve"> zadávací dokumentace)</w:t>
      </w:r>
      <w:r w:rsidRPr="00FE597B">
        <w:rPr>
          <w:b w:val="0"/>
        </w:rPr>
        <w:t>.</w:t>
      </w:r>
    </w:p>
    <w:p w:rsidR="00FE597B" w:rsidRP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Nesplněním sjednaného postupu ze strany poskytovatele vzniká objednateli právo fakturu vrátit bez proplacení zpět. Vrácením faktury přestává běžet lhůta splatnosti.</w:t>
      </w:r>
    </w:p>
    <w:p w:rsid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Opravená, přepracovaná nebo nová faktura bude opatřena novou dobou splatnosti</w:t>
      </w:r>
    </w:p>
    <w:p w:rsidR="00B33DF6" w:rsidRPr="00B33DF6" w:rsidRDefault="00B33DF6" w:rsidP="00B33DF6"/>
    <w:p w:rsidR="00C16A95" w:rsidRPr="002350D6" w:rsidRDefault="002350D6" w:rsidP="00DA44BA">
      <w:pPr>
        <w:pStyle w:val="Nadpis1"/>
      </w:pPr>
      <w:r w:rsidRPr="002350D6">
        <w:t>OBCHODNÍ PODMÍNKY</w:t>
      </w:r>
    </w:p>
    <w:p w:rsidR="00BD74E7" w:rsidRPr="00001443" w:rsidRDefault="007303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01443">
        <w:rPr>
          <w:b w:val="0"/>
        </w:rPr>
        <w:t>Poskytovatel je povinen zachovávat dle zákona č.101/2000 Sb., o ochraně osobních údajů, ve znění pozdějších předpisů mlčenlivost o osobních údajích a o bezpečnostních opatřeních, jejichž zveřejnění by ohrozilo zabezpečení osobních údajů. Povinnost mlčenlivosti bude trvat i po ukončení platnosti smlouvy, a to bez omezení.</w:t>
      </w:r>
    </w:p>
    <w:p w:rsidR="00BD74E7" w:rsidRPr="00BD74E7" w:rsidRDefault="00BD74E7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D74E7">
        <w:rPr>
          <w:b w:val="0"/>
        </w:rPr>
        <w:lastRenderedPageBreak/>
        <w:t>Poskytovatel je povinen v případě omezení provozu prádelny z jakéhokoliv důvodu, zajistit odpovídající náhradu vyprání prádla v určených dnech.</w:t>
      </w:r>
    </w:p>
    <w:p w:rsidR="00BE0591" w:rsidRDefault="00DB0396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E0591">
        <w:rPr>
          <w:b w:val="0"/>
        </w:rPr>
        <w:t xml:space="preserve">Reklamace se řeší písemně mezi odpovědnými osobami objednatele a </w:t>
      </w:r>
      <w:r w:rsidR="00615E21" w:rsidRPr="00BE0591">
        <w:rPr>
          <w:b w:val="0"/>
        </w:rPr>
        <w:t>poskytovatel</w:t>
      </w:r>
      <w:r w:rsidR="00BE0591">
        <w:rPr>
          <w:b w:val="0"/>
        </w:rPr>
        <w:t>e:</w:t>
      </w:r>
    </w:p>
    <w:p w:rsidR="008D410F" w:rsidRPr="00BE0591" w:rsidRDefault="008D410F" w:rsidP="00BE0591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b w:val="0"/>
        </w:rPr>
      </w:pPr>
      <w:r w:rsidRPr="00BE0591">
        <w:rPr>
          <w:b w:val="0"/>
        </w:rPr>
        <w:t>Odpovědná osoba ze strany objednatele</w:t>
      </w:r>
      <w:r w:rsidR="00BE0591" w:rsidRPr="00BE0591">
        <w:rPr>
          <w:b w:val="0"/>
        </w:rPr>
        <w:t>:</w:t>
      </w:r>
      <w:r w:rsidRPr="00BE0591">
        <w:t xml:space="preserve"> </w:t>
      </w:r>
      <w:r w:rsidR="00BE0591" w:rsidRPr="00E147D8">
        <w:rPr>
          <w:color w:val="FF0000"/>
        </w:rPr>
        <w:t>DOPLN</w:t>
      </w:r>
      <w:r w:rsidR="00BE0591">
        <w:rPr>
          <w:color w:val="FF0000"/>
        </w:rPr>
        <w:t>Í OBJEDNATEL (Jméno, Příjm</w:t>
      </w:r>
      <w:r w:rsidR="005E1DD8">
        <w:rPr>
          <w:color w:val="FF0000"/>
        </w:rPr>
        <w:t>e</w:t>
      </w:r>
      <w:r w:rsidR="00BE0591">
        <w:rPr>
          <w:color w:val="FF0000"/>
        </w:rPr>
        <w:t>ní,</w:t>
      </w:r>
      <w:r w:rsidR="00331EEB">
        <w:rPr>
          <w:color w:val="FF0000"/>
        </w:rPr>
        <w:t xml:space="preserve"> </w:t>
      </w:r>
      <w:r w:rsidR="00BE0591">
        <w:rPr>
          <w:color w:val="FF0000"/>
        </w:rPr>
        <w:t>funkce, telefon, e-mail)</w:t>
      </w:r>
    </w:p>
    <w:p w:rsidR="00BE0591" w:rsidRDefault="00BE0591" w:rsidP="00BE0591">
      <w:pPr>
        <w:pStyle w:val="Nadpis1"/>
        <w:numPr>
          <w:ilvl w:val="0"/>
          <w:numId w:val="0"/>
        </w:numPr>
        <w:spacing w:before="0" w:after="0"/>
        <w:ind w:left="567"/>
        <w:jc w:val="both"/>
        <w:rPr>
          <w:color w:val="FF0000"/>
        </w:rPr>
      </w:pPr>
      <w:r w:rsidRPr="00BE0591">
        <w:rPr>
          <w:b w:val="0"/>
        </w:rPr>
        <w:t>Odpovědná osoba ze strany poskytovatele:</w:t>
      </w:r>
      <w:r w:rsidRPr="00BE0591">
        <w:t xml:space="preserve"> </w:t>
      </w:r>
      <w:r w:rsidR="0076685A">
        <w:rPr>
          <w:color w:val="FF0000"/>
        </w:rPr>
        <w:t>DOPLNÍ POSKYTOVATEL</w:t>
      </w:r>
    </w:p>
    <w:p w:rsidR="00FC0DF8" w:rsidRDefault="00FC0DF8" w:rsidP="00FC0DF8"/>
    <w:p w:rsidR="00FC0DF8" w:rsidRPr="00001443" w:rsidRDefault="00EA5DA0" w:rsidP="00FC0DF8">
      <w:pPr>
        <w:pStyle w:val="Nadpis1"/>
        <w:ind w:hanging="431"/>
      </w:pPr>
      <w:r>
        <w:t xml:space="preserve">ODPOVĚDNOST ZA </w:t>
      </w:r>
      <w:r w:rsidR="00FC0DF8" w:rsidRPr="00001443">
        <w:t xml:space="preserve">ŠKODY </w:t>
      </w:r>
    </w:p>
    <w:p w:rsidR="00FC0DF8" w:rsidRPr="00001443" w:rsidRDefault="00FC0DF8" w:rsidP="00FC0DF8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01443">
        <w:rPr>
          <w:b w:val="0"/>
        </w:rPr>
        <w:t xml:space="preserve">Všechny škody a ztráty, které vzniknou v příčinné souvislosti s realizací plnění, jdou k tíži poskytovatele. </w:t>
      </w:r>
    </w:p>
    <w:p w:rsidR="00FC0DF8" w:rsidRPr="00001443" w:rsidRDefault="00FC0DF8" w:rsidP="00FC0DF8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001443">
        <w:rPr>
          <w:rFonts w:eastAsia="Calibri"/>
          <w:b w:val="0"/>
        </w:rPr>
        <w:t>Poskytovatel se zavazuje, že po dobu platnosti smlouvy bude mít uzavřeno pojištění odpovědnosti za škodu vzniklou v souvislosti s poskytováním výše uvedených služeb ve výši minimálně 5.000.000,- Kč.</w:t>
      </w:r>
    </w:p>
    <w:p w:rsidR="00FC0DF8" w:rsidRPr="00FC0DF8" w:rsidRDefault="00FC0DF8" w:rsidP="00FC0DF8"/>
    <w:p w:rsidR="002A07D0" w:rsidRPr="002350D6" w:rsidRDefault="002350D6" w:rsidP="00DA44BA">
      <w:pPr>
        <w:pStyle w:val="Nadpis1"/>
      </w:pPr>
      <w:r w:rsidRPr="002350D6">
        <w:t>SANKCE</w:t>
      </w:r>
    </w:p>
    <w:p w:rsidR="00FE597B" w:rsidRPr="00253EC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V případě nezajištění služeb poskytovatelem v dohodnutém termínu a rozsahu je stanovena smluvní pokuta ve výši 0,05 % z celkové ceny příslušné nezajištěné služby, a to za každý, byť i započatý den </w:t>
      </w:r>
      <w:r w:rsidRPr="00253ECB">
        <w:rPr>
          <w:b w:val="0"/>
        </w:rPr>
        <w:t>prodlení.</w:t>
      </w:r>
      <w:r w:rsidR="00863E88" w:rsidRPr="00253ECB">
        <w:rPr>
          <w:b w:val="0"/>
        </w:rPr>
        <w:t xml:space="preserve"> Objednatel je v takovém případě oprávněn zajistit si provedení služby jinde a náklady s tím vzniklé je poskytovatel povinen objednateli uhradit.</w:t>
      </w:r>
    </w:p>
    <w:p w:rsidR="00FE597B" w:rsidRP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Způsobí-li poskytovatel svým jednáním zničení předmětu plnění, je objednatel oprávněn požadovat náhradu v plném rozsahu.</w:t>
      </w:r>
    </w:p>
    <w:p w:rsidR="00FE597B" w:rsidRPr="00FE59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 xml:space="preserve">Ocitne-li se objednatel v prodlení s placením faktury (tzn., nebude-li fakturovaná částka uhrazena v termínu splatnosti), je objednatel povinen zaplatit poskytovateli za každý den prodlení smluvní pokutu ve výši 0,01 % z dlužné částky. </w:t>
      </w:r>
    </w:p>
    <w:p w:rsidR="0073037B" w:rsidRDefault="00FE59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597B">
        <w:rPr>
          <w:b w:val="0"/>
        </w:rPr>
        <w:t>Smluvní pokuta je splatná do 21 dnů ode dne doručení výzvy k její úhradě. Uložením a zaplacením smluvní pokuty nejsou dotčena práva na náhradu škody, která nesplněním povinnost</w:t>
      </w:r>
      <w:r w:rsidR="0073037B">
        <w:rPr>
          <w:b w:val="0"/>
        </w:rPr>
        <w:t>i vznikla druhé smluvní straně.</w:t>
      </w:r>
    </w:p>
    <w:p w:rsidR="0073037B" w:rsidRPr="00EA5DA0" w:rsidRDefault="0073037B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EA5DA0">
        <w:rPr>
          <w:b w:val="0"/>
        </w:rPr>
        <w:t xml:space="preserve">V případě porušení povinnosti poskytovatele uvedené ve čl. </w:t>
      </w:r>
      <w:r w:rsidR="00EA5DA0" w:rsidRPr="00EA5DA0">
        <w:rPr>
          <w:b w:val="0"/>
        </w:rPr>
        <w:t>5</w:t>
      </w:r>
      <w:r w:rsidRPr="00EA5DA0">
        <w:rPr>
          <w:b w:val="0"/>
        </w:rPr>
        <w:t>.</w:t>
      </w:r>
      <w:r w:rsidR="00EA5DA0" w:rsidRPr="00EA5DA0">
        <w:rPr>
          <w:b w:val="0"/>
        </w:rPr>
        <w:t>9</w:t>
      </w:r>
      <w:r w:rsidRPr="00EA5DA0">
        <w:rPr>
          <w:b w:val="0"/>
        </w:rPr>
        <w:t xml:space="preserve"> této smlouvy je poskytovatel povinen zaplatit objednateli smluvní pokutu ve výši </w:t>
      </w:r>
      <w:r w:rsidR="009D3F50">
        <w:rPr>
          <w:b w:val="0"/>
        </w:rPr>
        <w:t>5</w:t>
      </w:r>
      <w:r w:rsidRPr="00EA5DA0">
        <w:rPr>
          <w:b w:val="0"/>
        </w:rPr>
        <w:t xml:space="preserve">00,- Kč a to za každý, byť i započatý den prodlení s dodáním správného a úplného přehledu. Toto platí i v případě, že se v přehledu dle bodu </w:t>
      </w:r>
      <w:r w:rsidR="00EA5DA0">
        <w:rPr>
          <w:b w:val="0"/>
        </w:rPr>
        <w:t>5</w:t>
      </w:r>
      <w:r w:rsidRPr="00EA5DA0">
        <w:rPr>
          <w:b w:val="0"/>
        </w:rPr>
        <w:t>.</w:t>
      </w:r>
      <w:r w:rsidR="00EA5DA0">
        <w:rPr>
          <w:b w:val="0"/>
        </w:rPr>
        <w:t>9</w:t>
      </w:r>
      <w:r w:rsidRPr="00EA5DA0">
        <w:rPr>
          <w:b w:val="0"/>
        </w:rPr>
        <w:t xml:space="preserve"> této smlouvy objeví chybné, mylné nebo jinak nesprávné informace (např. nekompatibilní formát). Za nesprávné informace se považují i údaje o plněních, které nebudou učiněny na základě této rámcové smlouvy.</w:t>
      </w:r>
    </w:p>
    <w:p w:rsidR="0073037B" w:rsidRPr="0073037B" w:rsidRDefault="0073037B" w:rsidP="0073037B"/>
    <w:p w:rsidR="008E4383" w:rsidRPr="002649E5" w:rsidRDefault="008E4383" w:rsidP="008E4383">
      <w:pPr>
        <w:pStyle w:val="Nadpis1"/>
        <w:ind w:hanging="431"/>
      </w:pPr>
      <w:r w:rsidRPr="002649E5">
        <w:t xml:space="preserve">UKONČENÍ SMLOUVY </w:t>
      </w:r>
    </w:p>
    <w:p w:rsidR="00FE33BB" w:rsidRPr="00FE33BB" w:rsidRDefault="00FE33BB" w:rsidP="00FE33BB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</w:t>
      </w:r>
      <w:r>
        <w:rPr>
          <w:b w:val="0"/>
        </w:rPr>
        <w:t>ísemnou dohodou smluvních stran.</w:t>
      </w:r>
    </w:p>
    <w:p w:rsidR="00FE33BB" w:rsidRDefault="00FE33BB" w:rsidP="00680647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 xml:space="preserve">Tuto smlouvu lze ukončit </w:t>
      </w:r>
      <w:r w:rsidR="00680647" w:rsidRPr="00FE33BB">
        <w:rPr>
          <w:b w:val="0"/>
        </w:rPr>
        <w:t>písemným odstoupením jedné ze smluvních stran.</w:t>
      </w:r>
      <w:r w:rsidRPr="00FE33BB">
        <w:rPr>
          <w:b w:val="0"/>
        </w:rPr>
        <w:t xml:space="preserve"> </w:t>
      </w:r>
      <w:r w:rsidR="00680647" w:rsidRPr="00FE33BB">
        <w:rPr>
          <w:b w:val="0"/>
        </w:rPr>
        <w:t xml:space="preserve">Důvodem k odstoupení od smlouvy je podstatné porušení smluvních povinností. Za podstatné porušení smluvních povinností ze strany objednatele se považuje opakované prodlení s placením smluvní ceny nebo její části, příp. porušení povinností uvedených </w:t>
      </w:r>
      <w:r w:rsidR="0076685A">
        <w:rPr>
          <w:b w:val="0"/>
        </w:rPr>
        <w:t xml:space="preserve">v </w:t>
      </w:r>
      <w:r w:rsidR="00680647" w:rsidRPr="00FE33BB">
        <w:rPr>
          <w:b w:val="0"/>
        </w:rPr>
        <w:t>této smlouv</w:t>
      </w:r>
      <w:r>
        <w:rPr>
          <w:b w:val="0"/>
        </w:rPr>
        <w:t>ě</w:t>
      </w:r>
      <w:r w:rsidR="00680647" w:rsidRPr="00FE33BB">
        <w:rPr>
          <w:b w:val="0"/>
        </w:rPr>
        <w:t>. Za podstatné porušení smluvních povinností ze strany poskytovatele se považuje opakované poskytování nekvalitních služeb, případně porušení povinností uvedených v této smlouvě, na které byl poskytovatel písemně upozorňován objednatelem.</w:t>
      </w:r>
    </w:p>
    <w:p w:rsidR="00AD68B3" w:rsidRPr="00FE33BB" w:rsidRDefault="00AD68B3" w:rsidP="00AD68B3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>Tuto smlouvu lze ukončit písemnou výpovědí jedné ze smluvních stran bez uvedení důvodu, přičemž výpovědní lhůta činí 6 měsíců a počíná plynout 1</w:t>
      </w:r>
      <w:r>
        <w:rPr>
          <w:b w:val="0"/>
        </w:rPr>
        <w:t>.</w:t>
      </w:r>
      <w:r w:rsidRPr="00FE33BB">
        <w:rPr>
          <w:b w:val="0"/>
        </w:rPr>
        <w:t xml:space="preserve"> dnem následujícího měsíce po měsíci, kdy byla </w:t>
      </w:r>
      <w:r>
        <w:rPr>
          <w:b w:val="0"/>
        </w:rPr>
        <w:t xml:space="preserve">prokazatelně </w:t>
      </w:r>
      <w:r w:rsidRPr="00FE33BB">
        <w:rPr>
          <w:b w:val="0"/>
        </w:rPr>
        <w:t>doručena výpověď druhé smluvní straně</w:t>
      </w:r>
      <w:r>
        <w:rPr>
          <w:b w:val="0"/>
        </w:rPr>
        <w:t>. Uplatnění možnosti ukončení smlouvy výpovědí bude možné až uplynutím 4 let plnění této smlouvy (</w:t>
      </w:r>
      <w:r w:rsidRPr="00942A0C">
        <w:rPr>
          <w:b w:val="0"/>
        </w:rPr>
        <w:t xml:space="preserve">tj. nejdříve </w:t>
      </w:r>
      <w:r>
        <w:rPr>
          <w:b w:val="0"/>
        </w:rPr>
        <w:t>od</w:t>
      </w:r>
      <w:r w:rsidRPr="00942A0C">
        <w:rPr>
          <w:b w:val="0"/>
        </w:rPr>
        <w:t> </w:t>
      </w:r>
      <w:proofErr w:type="gramStart"/>
      <w:r w:rsidRPr="00942A0C">
        <w:rPr>
          <w:b w:val="0"/>
        </w:rPr>
        <w:t>1.1.2018</w:t>
      </w:r>
      <w:proofErr w:type="gramEnd"/>
      <w:r>
        <w:rPr>
          <w:b w:val="0"/>
        </w:rPr>
        <w:t xml:space="preserve">). </w:t>
      </w:r>
      <w:r w:rsidRPr="00FE33BB">
        <w:rPr>
          <w:b w:val="0"/>
        </w:rPr>
        <w:t xml:space="preserve"> </w:t>
      </w:r>
    </w:p>
    <w:p w:rsidR="00680647" w:rsidRPr="00FE33BB" w:rsidRDefault="00680647" w:rsidP="00680647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FE33BB">
        <w:rPr>
          <w:b w:val="0"/>
        </w:rPr>
        <w:t>Ukončením tohoto smluvního vztahu není dotčena povinnost vzájemného vypořádání závazků obou smluvních stran.</w:t>
      </w:r>
    </w:p>
    <w:p w:rsidR="00680647" w:rsidRPr="00680647" w:rsidRDefault="00680647" w:rsidP="00680647">
      <w:pPr>
        <w:rPr>
          <w:rFonts w:ascii="Arial" w:hAnsi="Arial" w:cs="Arial"/>
          <w:sz w:val="20"/>
          <w:szCs w:val="20"/>
        </w:rPr>
      </w:pPr>
    </w:p>
    <w:p w:rsidR="002A07D0" w:rsidRPr="002350D6" w:rsidRDefault="002350D6" w:rsidP="00DA44BA">
      <w:pPr>
        <w:pStyle w:val="Nadpis1"/>
      </w:pPr>
      <w:r w:rsidRPr="002350D6">
        <w:t>ZÁVĚREČNÁ USTANOVENÍ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>Poskytovatel není oprávněn bez výslovného písemného souhlasu objednatele postoupit na třetí osobu jakoukoli pohledávku, která mu vznikne podle této smlouvy nebo v souvislosti s ní, či jakákoli jiná práva a povinnosti plynoucí ze smlouvy.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lastRenderedPageBreak/>
        <w:t>Poskytovatel prohlašuje, že je o obchodních podmínkách dostatečně informován, stejně jako o podmínkách realizace plnění a že všechny jemu nejasné body podmínek veřejné zakázky si před předáním své nabídky, dále pak, že všechny podmínky byly do nabídky zahrnuty a že s těmito podmínkami souhlasí.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 xml:space="preserve">Tato smlouva je vyhotovena ve </w:t>
      </w:r>
      <w:r w:rsidR="00AD68B3">
        <w:rPr>
          <w:b w:val="0"/>
        </w:rPr>
        <w:t>čtyřech</w:t>
      </w:r>
      <w:r w:rsidRPr="00CC6141">
        <w:rPr>
          <w:b w:val="0"/>
        </w:rPr>
        <w:t xml:space="preserve"> originálech s textem na </w:t>
      </w:r>
      <w:r w:rsidR="00AD68B3" w:rsidRPr="00AD68B3">
        <w:rPr>
          <w:b w:val="0"/>
        </w:rPr>
        <w:t>5</w:t>
      </w:r>
      <w:r w:rsidRPr="00AD68B3">
        <w:rPr>
          <w:b w:val="0"/>
        </w:rPr>
        <w:t xml:space="preserve"> </w:t>
      </w:r>
      <w:r w:rsidRPr="00CC6141">
        <w:rPr>
          <w:b w:val="0"/>
        </w:rPr>
        <w:t>stranách. Objednatel obdrží dva stejnopisy, poskytovatel jeden stejnopis</w:t>
      </w:r>
      <w:r w:rsidR="00AD68B3">
        <w:rPr>
          <w:b w:val="0"/>
        </w:rPr>
        <w:t>, CNPK jeden stejnopis</w:t>
      </w:r>
      <w:r w:rsidRPr="00CC6141">
        <w:rPr>
          <w:b w:val="0"/>
        </w:rPr>
        <w:t>.</w:t>
      </w:r>
    </w:p>
    <w:p w:rsidR="00AD68B3" w:rsidRPr="00AD68B3" w:rsidRDefault="00CC6141" w:rsidP="00AD68B3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AD68B3">
        <w:rPr>
          <w:b w:val="0"/>
        </w:rPr>
        <w:t>Tato smlouva nabývá platnosti dnem podpisu té smluvní strany, která</w:t>
      </w:r>
      <w:r w:rsidR="00AD68B3" w:rsidRPr="00AD68B3">
        <w:rPr>
          <w:b w:val="0"/>
        </w:rPr>
        <w:t xml:space="preserve"> ji podepíše později, </w:t>
      </w:r>
      <w:r w:rsidR="00AD68B3">
        <w:rPr>
          <w:b w:val="0"/>
        </w:rPr>
        <w:t xml:space="preserve">účinnosti nabývá </w:t>
      </w:r>
      <w:r w:rsidR="00AD68B3" w:rsidRPr="00AD68B3">
        <w:rPr>
          <w:b w:val="0"/>
        </w:rPr>
        <w:t xml:space="preserve">dnem 1. ledna 2014 a je uzavřena na dobu neurčitou. </w:t>
      </w:r>
    </w:p>
    <w:p w:rsidR="00CC6141" w:rsidRPr="00CC6141" w:rsidRDefault="00CC6141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C6141">
        <w:rPr>
          <w:b w:val="0"/>
        </w:rPr>
        <w:t>Smluvní strany souhlasí s tím, aby tato uzavřená smlouva vč. jejích změn a dodatků byla uveřejněna na profilu zadavatele v souladu s § 147a zákona č. 137/2006 Sb., o veřejných zakázkách, v platném znění.</w:t>
      </w:r>
    </w:p>
    <w:p w:rsidR="00BE0591" w:rsidRPr="00BE0591" w:rsidRDefault="00D7600D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BE0591">
        <w:rPr>
          <w:b w:val="0"/>
        </w:rPr>
        <w:t xml:space="preserve">Jakékoliv změny či doplnění smlouvy, </w:t>
      </w:r>
      <w:r w:rsidR="00D02099" w:rsidRPr="00BE0591">
        <w:rPr>
          <w:b w:val="0"/>
        </w:rPr>
        <w:t>včetně změny cen</w:t>
      </w:r>
      <w:r w:rsidR="003113CF" w:rsidRPr="00BE0591">
        <w:rPr>
          <w:b w:val="0"/>
        </w:rPr>
        <w:t xml:space="preserve"> (v případě změny sazby D</w:t>
      </w:r>
      <w:r w:rsidR="003113CF" w:rsidRPr="008E4383">
        <w:rPr>
          <w:b w:val="0"/>
        </w:rPr>
        <w:t>PH)</w:t>
      </w:r>
      <w:r w:rsidRPr="008E4383">
        <w:rPr>
          <w:b w:val="0"/>
        </w:rPr>
        <w:t>, mohou být učiněny výhradně písemným dodatkem ke smlouvě schváleným oběma smluvními stranami. Takové změny či doplně</w:t>
      </w:r>
      <w:r w:rsidRPr="00BE0591">
        <w:rPr>
          <w:b w:val="0"/>
        </w:rPr>
        <w:t>ní však musí být v souladu s relev</w:t>
      </w:r>
      <w:r w:rsidR="00BE0591" w:rsidRPr="00BE0591">
        <w:rPr>
          <w:b w:val="0"/>
        </w:rPr>
        <w:t>antními ustanoveními zákona</w:t>
      </w:r>
    </w:p>
    <w:p w:rsidR="00C01B0D" w:rsidRPr="00C01B0D" w:rsidRDefault="002A07D0" w:rsidP="00146BE0">
      <w:pPr>
        <w:pStyle w:val="Nadpis1"/>
        <w:numPr>
          <w:ilvl w:val="1"/>
          <w:numId w:val="2"/>
        </w:numPr>
        <w:spacing w:before="0" w:after="0"/>
        <w:ind w:left="567" w:hanging="567"/>
        <w:jc w:val="both"/>
        <w:rPr>
          <w:b w:val="0"/>
        </w:rPr>
      </w:pPr>
      <w:r w:rsidRPr="00C01B0D">
        <w:rPr>
          <w:b w:val="0"/>
        </w:rPr>
        <w:t>Smluvní strany prohlašují, že si tuto smlouvu přečetly, a že byla ujednána po vzájemném projednání podle jejich svobodné vůle, určitě, vážně a srozumitelně, nikoliv v tísni za nápadně nevýhodných podmínek.</w:t>
      </w:r>
    </w:p>
    <w:p w:rsidR="00987022" w:rsidRPr="002350D6" w:rsidRDefault="00987022" w:rsidP="0058331C">
      <w:pPr>
        <w:pStyle w:val="Nadpis1"/>
        <w:numPr>
          <w:ilvl w:val="0"/>
          <w:numId w:val="0"/>
        </w:numPr>
        <w:spacing w:before="0" w:after="0"/>
        <w:ind w:left="360"/>
        <w:jc w:val="both"/>
      </w:pPr>
    </w:p>
    <w:p w:rsidR="009D39D5" w:rsidRDefault="009D39D5" w:rsidP="002350D6">
      <w:pPr>
        <w:ind w:left="426" w:hanging="426"/>
        <w:rPr>
          <w:rFonts w:ascii="Arial" w:hAnsi="Arial" w:cs="Arial"/>
          <w:sz w:val="20"/>
          <w:szCs w:val="20"/>
        </w:rPr>
      </w:pPr>
    </w:p>
    <w:p w:rsidR="00615E21" w:rsidRPr="00B24EF5" w:rsidRDefault="00615E21" w:rsidP="00615E21">
      <w:pPr>
        <w:rPr>
          <w:rFonts w:ascii="Arial" w:hAnsi="Arial" w:cs="Arial"/>
          <w:i/>
          <w:sz w:val="20"/>
          <w:szCs w:val="20"/>
        </w:rPr>
      </w:pPr>
      <w:r w:rsidRPr="00B24EF5">
        <w:rPr>
          <w:rFonts w:ascii="Arial" w:hAnsi="Arial" w:cs="Arial"/>
          <w:i/>
          <w:sz w:val="20"/>
          <w:szCs w:val="20"/>
        </w:rPr>
        <w:t>Příloh</w:t>
      </w:r>
      <w:r w:rsidRPr="0058331C">
        <w:rPr>
          <w:rFonts w:ascii="Arial" w:hAnsi="Arial" w:cs="Arial"/>
          <w:i/>
          <w:sz w:val="20"/>
          <w:szCs w:val="20"/>
        </w:rPr>
        <w:t>y</w:t>
      </w:r>
      <w:r w:rsidR="003C2C86">
        <w:rPr>
          <w:rFonts w:ascii="Arial" w:hAnsi="Arial" w:cs="Arial"/>
          <w:i/>
          <w:sz w:val="20"/>
          <w:szCs w:val="20"/>
        </w:rPr>
        <w:t>, které jsou nedílnou součástí této smlouvy</w:t>
      </w:r>
      <w:r w:rsidRPr="00B24EF5">
        <w:rPr>
          <w:rFonts w:ascii="Arial" w:hAnsi="Arial" w:cs="Arial"/>
          <w:i/>
          <w:sz w:val="20"/>
          <w:szCs w:val="20"/>
        </w:rPr>
        <w:t>:</w:t>
      </w:r>
    </w:p>
    <w:p w:rsidR="00615E21" w:rsidRPr="00E54DD6" w:rsidRDefault="00615E21" w:rsidP="00146BE0">
      <w:pPr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E54DD6">
        <w:rPr>
          <w:rFonts w:ascii="Arial" w:hAnsi="Arial" w:cs="Arial"/>
          <w:i/>
          <w:sz w:val="20"/>
          <w:szCs w:val="20"/>
        </w:rPr>
        <w:t xml:space="preserve">Ceník a sortiment prádla (Sortiment prádla v Kg s určením jednotkové nabídkové ceny </w:t>
      </w:r>
      <w:r w:rsidR="00331EEB" w:rsidRPr="00E54DD6">
        <w:rPr>
          <w:rFonts w:ascii="Arial" w:hAnsi="Arial" w:cs="Arial"/>
          <w:i/>
          <w:sz w:val="20"/>
          <w:szCs w:val="20"/>
        </w:rPr>
        <w:t xml:space="preserve">v Kč bez DPH </w:t>
      </w:r>
      <w:r w:rsidRPr="00E54DD6">
        <w:rPr>
          <w:rFonts w:ascii="Arial" w:hAnsi="Arial" w:cs="Arial"/>
          <w:i/>
          <w:sz w:val="20"/>
          <w:szCs w:val="20"/>
        </w:rPr>
        <w:t>za 1 kg čistého suchého prádla</w:t>
      </w:r>
      <w:r w:rsidR="00AC7BF4" w:rsidRPr="00E54DD6">
        <w:rPr>
          <w:rFonts w:ascii="Arial" w:hAnsi="Arial" w:cs="Arial"/>
          <w:i/>
          <w:sz w:val="20"/>
          <w:szCs w:val="20"/>
        </w:rPr>
        <w:t xml:space="preserve"> pro dané </w:t>
      </w:r>
      <w:r w:rsidRPr="00E54DD6">
        <w:rPr>
          <w:rFonts w:ascii="Arial" w:hAnsi="Arial" w:cs="Arial"/>
          <w:i/>
          <w:sz w:val="20"/>
          <w:szCs w:val="20"/>
        </w:rPr>
        <w:t>zařízení)</w:t>
      </w:r>
    </w:p>
    <w:p w:rsidR="00615E21" w:rsidRPr="00E54DD6" w:rsidRDefault="00615E21" w:rsidP="00146BE0">
      <w:pPr>
        <w:numPr>
          <w:ilvl w:val="0"/>
          <w:numId w:val="4"/>
        </w:numPr>
        <w:rPr>
          <w:rFonts w:ascii="Arial" w:hAnsi="Arial" w:cs="Arial"/>
          <w:i/>
          <w:sz w:val="20"/>
          <w:szCs w:val="20"/>
        </w:rPr>
      </w:pPr>
      <w:r w:rsidRPr="00E54DD6">
        <w:rPr>
          <w:rFonts w:ascii="Arial" w:hAnsi="Arial" w:cs="Arial"/>
          <w:i/>
          <w:sz w:val="20"/>
          <w:szCs w:val="20"/>
        </w:rPr>
        <w:t xml:space="preserve">Harmonogram svozů (Harmonogram svozů znečištěného prádla a dovozů čistého prádla a určení předávacích míst pro </w:t>
      </w:r>
      <w:r w:rsidR="00AC7BF4" w:rsidRPr="00E54DD6">
        <w:rPr>
          <w:rFonts w:ascii="Arial" w:hAnsi="Arial" w:cs="Arial"/>
          <w:i/>
          <w:sz w:val="20"/>
          <w:szCs w:val="20"/>
        </w:rPr>
        <w:t>dané</w:t>
      </w:r>
      <w:r w:rsidRPr="00E54DD6">
        <w:rPr>
          <w:rFonts w:ascii="Arial" w:hAnsi="Arial" w:cs="Arial"/>
          <w:i/>
          <w:sz w:val="20"/>
          <w:szCs w:val="20"/>
        </w:rPr>
        <w:t xml:space="preserve"> zařízení)</w:t>
      </w:r>
    </w:p>
    <w:p w:rsidR="00A610AF" w:rsidRPr="00E54DD6" w:rsidRDefault="00A610AF" w:rsidP="00146BE0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E54DD6">
        <w:rPr>
          <w:rFonts w:ascii="Arial" w:hAnsi="Arial" w:cs="Arial"/>
          <w:i/>
          <w:sz w:val="20"/>
          <w:szCs w:val="20"/>
        </w:rPr>
        <w:t xml:space="preserve">Zadávací dokumentace </w:t>
      </w:r>
    </w:p>
    <w:p w:rsidR="00A610AF" w:rsidRPr="00E54DD6" w:rsidRDefault="00A610AF" w:rsidP="00A610AF">
      <w:pPr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i/>
          <w:sz w:val="20"/>
          <w:szCs w:val="20"/>
        </w:rPr>
      </w:pPr>
      <w:r w:rsidRPr="00E54DD6">
        <w:rPr>
          <w:rFonts w:ascii="Arial" w:eastAsia="Calibri" w:hAnsi="Arial" w:cs="Arial"/>
          <w:b/>
          <w:i/>
          <w:color w:val="FF0000"/>
          <w:sz w:val="20"/>
          <w:szCs w:val="20"/>
        </w:rPr>
        <w:t xml:space="preserve">Pozn. (viz také čl. 12. ZD): Přílohu </w:t>
      </w:r>
      <w:proofErr w:type="gramStart"/>
      <w:r w:rsidRPr="00E54DD6">
        <w:rPr>
          <w:rFonts w:ascii="Arial" w:eastAsia="Calibri" w:hAnsi="Arial" w:cs="Arial"/>
          <w:b/>
          <w:i/>
          <w:color w:val="FF0000"/>
          <w:sz w:val="20"/>
          <w:szCs w:val="20"/>
        </w:rPr>
        <w:t>č. 3 návrhu</w:t>
      </w:r>
      <w:proofErr w:type="gramEnd"/>
      <w:r w:rsidRPr="00E54DD6">
        <w:rPr>
          <w:rFonts w:ascii="Arial" w:eastAsia="Calibri" w:hAnsi="Arial" w:cs="Arial"/>
          <w:b/>
          <w:i/>
          <w:color w:val="FF0000"/>
          <w:sz w:val="20"/>
          <w:szCs w:val="20"/>
        </w:rPr>
        <w:t xml:space="preserve"> této smlouvy není nutné vkládat do nabídky, bude tvořit až přílohu smlouvy s vybraným uchazečem</w:t>
      </w:r>
      <w:r w:rsidRPr="00E54DD6">
        <w:rPr>
          <w:rFonts w:ascii="Arial" w:eastAsia="Calibri" w:hAnsi="Arial" w:cs="Arial"/>
          <w:i/>
          <w:sz w:val="20"/>
          <w:szCs w:val="20"/>
        </w:rPr>
        <w:t>.</w:t>
      </w:r>
    </w:p>
    <w:p w:rsidR="00615E21" w:rsidRPr="00E54DD6" w:rsidRDefault="00615E21" w:rsidP="00146BE0">
      <w:pPr>
        <w:numPr>
          <w:ilvl w:val="0"/>
          <w:numId w:val="4"/>
        </w:numPr>
        <w:rPr>
          <w:rFonts w:ascii="Arial" w:hAnsi="Arial" w:cs="Arial"/>
          <w:b/>
          <w:i/>
          <w:color w:val="FF0000"/>
          <w:sz w:val="20"/>
          <w:szCs w:val="20"/>
        </w:rPr>
      </w:pPr>
      <w:r w:rsidRPr="00E54DD6">
        <w:rPr>
          <w:rFonts w:ascii="Arial" w:hAnsi="Arial" w:cs="Arial"/>
          <w:i/>
          <w:sz w:val="20"/>
          <w:szCs w:val="20"/>
        </w:rPr>
        <w:t>Přepočtové tabulky (Sortiment prádla v ks, v</w:t>
      </w:r>
      <w:r w:rsidR="00AC7BF4" w:rsidRPr="00E54DD6">
        <w:rPr>
          <w:rFonts w:ascii="Arial" w:hAnsi="Arial" w:cs="Arial"/>
          <w:i/>
          <w:sz w:val="20"/>
          <w:szCs w:val="20"/>
        </w:rPr>
        <w:t xml:space="preserve">četně Přepočtových tabulek pro dané </w:t>
      </w:r>
      <w:r w:rsidRPr="00E54DD6">
        <w:rPr>
          <w:rFonts w:ascii="Arial" w:hAnsi="Arial" w:cs="Arial"/>
          <w:i/>
          <w:sz w:val="20"/>
          <w:szCs w:val="20"/>
        </w:rPr>
        <w:t>zdravotnick</w:t>
      </w:r>
      <w:r w:rsidR="00AC7BF4" w:rsidRPr="00E54DD6">
        <w:rPr>
          <w:rFonts w:ascii="Arial" w:hAnsi="Arial" w:cs="Arial"/>
          <w:i/>
          <w:sz w:val="20"/>
          <w:szCs w:val="20"/>
        </w:rPr>
        <w:t>é</w:t>
      </w:r>
      <w:r w:rsidRPr="00E54DD6">
        <w:rPr>
          <w:rFonts w:ascii="Arial" w:hAnsi="Arial" w:cs="Arial"/>
          <w:i/>
          <w:sz w:val="20"/>
          <w:szCs w:val="20"/>
        </w:rPr>
        <w:t xml:space="preserve"> zařízení Zdravotnického holdingu Plzeňského </w:t>
      </w:r>
      <w:proofErr w:type="gramStart"/>
      <w:r w:rsidRPr="00E54DD6">
        <w:rPr>
          <w:rFonts w:ascii="Arial" w:hAnsi="Arial" w:cs="Arial"/>
          <w:i/>
          <w:sz w:val="20"/>
          <w:szCs w:val="20"/>
        </w:rPr>
        <w:t xml:space="preserve">kraje) </w:t>
      </w:r>
      <w:r w:rsidRPr="00E54DD6">
        <w:rPr>
          <w:rFonts w:ascii="Arial" w:hAnsi="Arial" w:cs="Arial"/>
          <w:b/>
          <w:i/>
          <w:color w:val="FF0000"/>
          <w:sz w:val="20"/>
          <w:szCs w:val="20"/>
        </w:rPr>
        <w:t>(Pozn.</w:t>
      </w:r>
      <w:proofErr w:type="gramEnd"/>
      <w:r w:rsidRPr="00E54DD6">
        <w:rPr>
          <w:rFonts w:ascii="Arial" w:hAnsi="Arial" w:cs="Arial"/>
          <w:b/>
          <w:i/>
          <w:color w:val="FF0000"/>
          <w:sz w:val="20"/>
          <w:szCs w:val="20"/>
        </w:rPr>
        <w:t>: tato příloha je součástí Smlouvy pouze v případě nabídky podané na část 1</w:t>
      </w:r>
      <w:r w:rsidR="00BF7325">
        <w:rPr>
          <w:rFonts w:ascii="Arial" w:hAnsi="Arial" w:cs="Arial"/>
          <w:b/>
          <w:i/>
          <w:color w:val="FF0000"/>
          <w:sz w:val="20"/>
          <w:szCs w:val="20"/>
        </w:rPr>
        <w:t xml:space="preserve">až 6 </w:t>
      </w:r>
      <w:r w:rsidRPr="00E54DD6">
        <w:rPr>
          <w:rFonts w:ascii="Arial" w:hAnsi="Arial" w:cs="Arial"/>
          <w:b/>
          <w:i/>
          <w:color w:val="FF0000"/>
          <w:sz w:val="20"/>
          <w:szCs w:val="20"/>
        </w:rPr>
        <w:t>VZ)</w:t>
      </w:r>
    </w:p>
    <w:p w:rsidR="00615E21" w:rsidRPr="002350D6" w:rsidRDefault="00615E21" w:rsidP="002350D6">
      <w:pPr>
        <w:ind w:left="426" w:hanging="426"/>
        <w:rPr>
          <w:rFonts w:ascii="Arial" w:hAnsi="Arial" w:cs="Arial"/>
          <w:sz w:val="20"/>
          <w:szCs w:val="20"/>
        </w:rPr>
      </w:pPr>
    </w:p>
    <w:p w:rsidR="00D530F5" w:rsidRDefault="00D530F5" w:rsidP="002350D6">
      <w:pPr>
        <w:rPr>
          <w:rFonts w:ascii="Arial" w:hAnsi="Arial" w:cs="Arial"/>
          <w:sz w:val="20"/>
          <w:szCs w:val="20"/>
        </w:rPr>
      </w:pPr>
    </w:p>
    <w:p w:rsidR="00615E21" w:rsidRDefault="00615E21" w:rsidP="002350D6">
      <w:pPr>
        <w:rPr>
          <w:rFonts w:ascii="Arial" w:hAnsi="Arial" w:cs="Arial"/>
          <w:sz w:val="20"/>
          <w:szCs w:val="20"/>
        </w:rPr>
      </w:pPr>
    </w:p>
    <w:p w:rsidR="00615E21" w:rsidRPr="002350D6" w:rsidRDefault="00615E21" w:rsidP="002350D6">
      <w:pPr>
        <w:rPr>
          <w:rFonts w:ascii="Arial" w:hAnsi="Arial" w:cs="Arial"/>
          <w:sz w:val="20"/>
          <w:szCs w:val="20"/>
        </w:rPr>
      </w:pPr>
    </w:p>
    <w:p w:rsidR="006D3B2C" w:rsidRPr="002350D6" w:rsidRDefault="002A07D0" w:rsidP="002350D6">
      <w:pPr>
        <w:rPr>
          <w:rFonts w:ascii="Arial" w:hAnsi="Arial" w:cs="Arial"/>
          <w:sz w:val="20"/>
          <w:szCs w:val="20"/>
        </w:rPr>
      </w:pPr>
      <w:r w:rsidRPr="002350D6">
        <w:rPr>
          <w:rFonts w:ascii="Arial" w:hAnsi="Arial" w:cs="Arial"/>
          <w:sz w:val="20"/>
          <w:szCs w:val="20"/>
        </w:rPr>
        <w:tab/>
      </w:r>
      <w:r w:rsidRPr="002350D6">
        <w:rPr>
          <w:rFonts w:ascii="Arial" w:hAnsi="Arial" w:cs="Arial"/>
          <w:sz w:val="20"/>
          <w:szCs w:val="20"/>
        </w:rPr>
        <w:tab/>
      </w:r>
      <w:r w:rsidRPr="002350D6">
        <w:rPr>
          <w:rFonts w:ascii="Arial" w:hAnsi="Arial" w:cs="Arial"/>
          <w:sz w:val="20"/>
          <w:szCs w:val="20"/>
        </w:rPr>
        <w:tab/>
      </w:r>
      <w:r w:rsidRPr="002350D6">
        <w:rPr>
          <w:rFonts w:ascii="Arial" w:hAnsi="Arial" w:cs="Arial"/>
          <w:sz w:val="20"/>
          <w:szCs w:val="20"/>
        </w:rPr>
        <w:tab/>
      </w:r>
    </w:p>
    <w:p w:rsidR="00D72E07" w:rsidRPr="002350D6" w:rsidRDefault="00D72E07" w:rsidP="002350D6">
      <w:pPr>
        <w:rPr>
          <w:rFonts w:ascii="Arial" w:hAnsi="Arial" w:cs="Arial"/>
          <w:sz w:val="20"/>
          <w:szCs w:val="20"/>
        </w:rPr>
      </w:pPr>
    </w:p>
    <w:p w:rsidR="002A07D0" w:rsidRPr="002350D6" w:rsidRDefault="002A07D0" w:rsidP="002350D6">
      <w:pPr>
        <w:rPr>
          <w:rFonts w:ascii="Arial" w:hAnsi="Arial" w:cs="Arial"/>
          <w:sz w:val="20"/>
          <w:szCs w:val="20"/>
        </w:rPr>
      </w:pPr>
    </w:p>
    <w:p w:rsidR="002C2B62" w:rsidRPr="002350D6" w:rsidRDefault="002C2B62" w:rsidP="002350D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/>
      </w:tblPr>
      <w:tblGrid>
        <w:gridCol w:w="5070"/>
        <w:gridCol w:w="4784"/>
      </w:tblGrid>
      <w:tr w:rsidR="00E1455D" w:rsidRPr="0023344B" w:rsidTr="00B7082A">
        <w:tc>
          <w:tcPr>
            <w:tcW w:w="5070" w:type="dxa"/>
          </w:tcPr>
          <w:p w:rsidR="00E1455D" w:rsidRPr="0023344B" w:rsidRDefault="00E1455D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 poskytovatele:</w:t>
            </w:r>
          </w:p>
        </w:tc>
        <w:tc>
          <w:tcPr>
            <w:tcW w:w="4784" w:type="dxa"/>
          </w:tcPr>
          <w:p w:rsidR="00E1455D" w:rsidRPr="0023344B" w:rsidRDefault="00E1455D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 objednatele:</w:t>
            </w:r>
          </w:p>
        </w:tc>
      </w:tr>
      <w:tr w:rsidR="0052576F" w:rsidRPr="0023344B" w:rsidTr="00B7082A">
        <w:tc>
          <w:tcPr>
            <w:tcW w:w="5070" w:type="dxa"/>
          </w:tcPr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V</w:t>
            </w:r>
            <w:r w:rsidRPr="0023344B"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 DOPLNIT</w:t>
            </w:r>
            <w:proofErr w:type="gramEnd"/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dne </w:t>
            </w:r>
            <w:r w:rsidRPr="0023344B">
              <w:rPr>
                <w:rFonts w:ascii="Arial" w:hAnsi="Arial" w:cs="Arial"/>
                <w:b/>
                <w:color w:val="FF0000"/>
                <w:sz w:val="20"/>
                <w:szCs w:val="20"/>
              </w:rPr>
              <w:t>DOPLNIT</w:t>
            </w:r>
          </w:p>
        </w:tc>
        <w:tc>
          <w:tcPr>
            <w:tcW w:w="4784" w:type="dxa"/>
          </w:tcPr>
          <w:p w:rsidR="0052576F" w:rsidRPr="00B7082A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gramStart"/>
            <w:r w:rsidRPr="00B708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V</w:t>
            </w:r>
            <w:r w:rsidRPr="00B708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7082A" w:rsidRPr="00B7082A">
              <w:rPr>
                <w:rFonts w:ascii="Arial" w:hAnsi="Arial" w:cs="Arial"/>
                <w:b/>
                <w:sz w:val="20"/>
                <w:szCs w:val="20"/>
              </w:rPr>
              <w:t>........................</w:t>
            </w:r>
            <w:r w:rsidRPr="00B7082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dne</w:t>
            </w:r>
            <w:proofErr w:type="gramEnd"/>
            <w:r w:rsidRPr="00B7082A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B7082A" w:rsidRPr="00B7082A">
              <w:rPr>
                <w:rFonts w:ascii="Arial" w:hAnsi="Arial" w:cs="Arial"/>
                <w:b/>
                <w:sz w:val="20"/>
                <w:szCs w:val="20"/>
              </w:rPr>
              <w:t>..........................</w:t>
            </w:r>
          </w:p>
        </w:tc>
      </w:tr>
      <w:tr w:rsidR="0052576F" w:rsidRPr="0023344B" w:rsidTr="00B7082A">
        <w:trPr>
          <w:trHeight w:val="1436"/>
        </w:trPr>
        <w:tc>
          <w:tcPr>
            <w:tcW w:w="5070" w:type="dxa"/>
          </w:tcPr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784" w:type="dxa"/>
          </w:tcPr>
          <w:p w:rsidR="0052576F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2576F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2576F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2576F" w:rsidRPr="0023344B" w:rsidTr="00B7082A">
        <w:tc>
          <w:tcPr>
            <w:tcW w:w="5070" w:type="dxa"/>
          </w:tcPr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---oprávněná osoba---</w:t>
            </w:r>
          </w:p>
        </w:tc>
        <w:tc>
          <w:tcPr>
            <w:tcW w:w="4784" w:type="dxa"/>
          </w:tcPr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---oprávněná osoba---</w:t>
            </w:r>
          </w:p>
        </w:tc>
      </w:tr>
      <w:tr w:rsidR="0052576F" w:rsidRPr="0023344B" w:rsidTr="00B7082A">
        <w:tc>
          <w:tcPr>
            <w:tcW w:w="5070" w:type="dxa"/>
          </w:tcPr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---funkce----</w:t>
            </w:r>
          </w:p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---dodavatel---</w:t>
            </w:r>
          </w:p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hAnsi="Arial" w:cs="Arial"/>
                <w:b/>
                <w:color w:val="FF0000"/>
                <w:sz w:val="20"/>
                <w:szCs w:val="20"/>
              </w:rPr>
              <w:t>(DOPLNIT)</w:t>
            </w:r>
          </w:p>
        </w:tc>
        <w:tc>
          <w:tcPr>
            <w:tcW w:w="4784" w:type="dxa"/>
          </w:tcPr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---funkce----</w:t>
            </w:r>
          </w:p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eastAsia="Calibri" w:hAnsi="Arial" w:cs="Arial"/>
                <w:sz w:val="20"/>
                <w:szCs w:val="20"/>
                <w:lang w:eastAsia="en-US"/>
              </w:rPr>
              <w:t>---dodavatel---</w:t>
            </w:r>
          </w:p>
          <w:p w:rsidR="0052576F" w:rsidRPr="0023344B" w:rsidRDefault="0052576F" w:rsidP="00B7082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3344B">
              <w:rPr>
                <w:rFonts w:ascii="Arial" w:hAnsi="Arial" w:cs="Arial"/>
                <w:b/>
                <w:color w:val="FF0000"/>
                <w:sz w:val="20"/>
                <w:szCs w:val="20"/>
              </w:rPr>
              <w:t>(DOPLNIT)</w:t>
            </w:r>
          </w:p>
        </w:tc>
      </w:tr>
    </w:tbl>
    <w:p w:rsidR="002A07D0" w:rsidRPr="002350D6" w:rsidRDefault="002A07D0" w:rsidP="00B7082A">
      <w:pPr>
        <w:pStyle w:val="Zkladntext3"/>
        <w:jc w:val="center"/>
        <w:rPr>
          <w:rFonts w:ascii="Arial" w:hAnsi="Arial"/>
          <w:color w:val="424242"/>
          <w:sz w:val="20"/>
          <w:szCs w:val="20"/>
        </w:rPr>
      </w:pPr>
    </w:p>
    <w:p w:rsidR="002C2B62" w:rsidRPr="002350D6" w:rsidRDefault="002C2B62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p w:rsidR="00026F12" w:rsidRPr="002350D6" w:rsidRDefault="00026F12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p w:rsidR="00026F12" w:rsidRPr="002350D6" w:rsidRDefault="00026F12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p w:rsidR="00026F12" w:rsidRPr="002350D6" w:rsidRDefault="00026F12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p w:rsidR="00026F12" w:rsidRPr="002350D6" w:rsidRDefault="00026F12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p w:rsidR="00026F12" w:rsidRPr="002350D6" w:rsidRDefault="00026F12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p w:rsidR="00026F12" w:rsidRPr="002350D6" w:rsidRDefault="00026F12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p w:rsidR="00715CA0" w:rsidRPr="002350D6" w:rsidRDefault="00715CA0" w:rsidP="002350D6">
      <w:pPr>
        <w:pStyle w:val="Zkladntext3"/>
        <w:rPr>
          <w:rFonts w:ascii="Arial" w:hAnsi="Arial"/>
          <w:color w:val="424242"/>
          <w:sz w:val="20"/>
          <w:szCs w:val="20"/>
        </w:rPr>
      </w:pPr>
    </w:p>
    <w:sectPr w:rsidR="00715CA0" w:rsidRPr="002350D6" w:rsidSect="00064FF4">
      <w:headerReference w:type="default" r:id="rId9"/>
      <w:footerReference w:type="even" r:id="rId10"/>
      <w:footerReference w:type="default" r:id="rId11"/>
      <w:pgSz w:w="11906" w:h="16838"/>
      <w:pgMar w:top="1531" w:right="1134" w:bottom="851" w:left="1134" w:header="708" w:footer="31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8B3" w:rsidRDefault="00AD68B3">
      <w:r>
        <w:separator/>
      </w:r>
    </w:p>
    <w:p w:rsidR="00AD68B3" w:rsidRDefault="00AD68B3"/>
  </w:endnote>
  <w:endnote w:type="continuationSeparator" w:id="0">
    <w:p w:rsidR="00AD68B3" w:rsidRDefault="00AD68B3">
      <w:r>
        <w:continuationSeparator/>
      </w:r>
    </w:p>
    <w:p w:rsidR="00AD68B3" w:rsidRDefault="00AD68B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B3" w:rsidRDefault="00940C36" w:rsidP="00FD17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D68B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D68B3" w:rsidRDefault="00AD68B3">
    <w:pPr>
      <w:pStyle w:val="Zpat"/>
    </w:pPr>
  </w:p>
  <w:p w:rsidR="00AD68B3" w:rsidRDefault="00AD68B3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B3" w:rsidRDefault="00AD68B3" w:rsidP="00064FF4">
    <w:pPr>
      <w:jc w:val="center"/>
      <w:rPr>
        <w:rFonts w:ascii="Arial" w:hAnsi="Arial" w:cs="Arial"/>
        <w:color w:val="7F7F7F" w:themeColor="text1" w:themeTint="80"/>
        <w:sz w:val="18"/>
      </w:rPr>
    </w:pPr>
  </w:p>
  <w:p w:rsidR="00AD68B3" w:rsidRPr="0023344B" w:rsidRDefault="00AD68B3" w:rsidP="00064FF4">
    <w:pPr>
      <w:pBdr>
        <w:top w:val="single" w:sz="4" w:space="1" w:color="7F7F7F" w:themeColor="text1" w:themeTint="80"/>
      </w:pBdr>
      <w:jc w:val="center"/>
      <w:rPr>
        <w:rFonts w:ascii="Arial" w:hAnsi="Arial" w:cs="Arial"/>
        <w:color w:val="7F7F7F" w:themeColor="text1" w:themeTint="80"/>
        <w:sz w:val="18"/>
      </w:rPr>
    </w:pPr>
  </w:p>
  <w:p w:rsidR="00AD68B3" w:rsidRPr="00064FF4" w:rsidRDefault="00AD68B3" w:rsidP="00064FF4">
    <w:pPr>
      <w:jc w:val="center"/>
      <w:rPr>
        <w:rFonts w:ascii="Arial" w:hAnsi="Arial" w:cs="Arial"/>
        <w:i/>
        <w:color w:val="7F7F7F" w:themeColor="text1" w:themeTint="80"/>
        <w:sz w:val="18"/>
      </w:rPr>
    </w:pPr>
    <w:r w:rsidRPr="0023344B">
      <w:rPr>
        <w:rFonts w:ascii="Arial" w:hAnsi="Arial" w:cs="Arial"/>
        <w:i/>
        <w:color w:val="7F7F7F" w:themeColor="text1" w:themeTint="80"/>
        <w:sz w:val="18"/>
      </w:rPr>
      <w:t xml:space="preserve">Stránka </w:t>
    </w:r>
    <w:r w:rsidR="00940C36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PAGE </w:instrText>
    </w:r>
    <w:r w:rsidR="00940C36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ED21A5">
      <w:rPr>
        <w:rFonts w:ascii="Arial" w:hAnsi="Arial" w:cs="Arial"/>
        <w:i/>
        <w:noProof/>
        <w:color w:val="7F7F7F" w:themeColor="text1" w:themeTint="80"/>
        <w:sz w:val="18"/>
      </w:rPr>
      <w:t>5</w:t>
    </w:r>
    <w:r w:rsidR="00940C36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  <w:r w:rsidRPr="0023344B">
      <w:rPr>
        <w:rFonts w:ascii="Arial" w:hAnsi="Arial" w:cs="Arial"/>
        <w:i/>
        <w:color w:val="7F7F7F" w:themeColor="text1" w:themeTint="80"/>
        <w:sz w:val="18"/>
      </w:rPr>
      <w:t xml:space="preserve"> z </w:t>
    </w:r>
    <w:r w:rsidR="00940C36" w:rsidRPr="0023344B">
      <w:rPr>
        <w:rFonts w:ascii="Arial" w:hAnsi="Arial" w:cs="Arial"/>
        <w:i/>
        <w:color w:val="7F7F7F" w:themeColor="text1" w:themeTint="80"/>
        <w:sz w:val="18"/>
      </w:rPr>
      <w:fldChar w:fldCharType="begin"/>
    </w:r>
    <w:r w:rsidRPr="0023344B">
      <w:rPr>
        <w:rFonts w:ascii="Arial" w:hAnsi="Arial" w:cs="Arial"/>
        <w:i/>
        <w:color w:val="7F7F7F" w:themeColor="text1" w:themeTint="80"/>
        <w:sz w:val="18"/>
      </w:rPr>
      <w:instrText xml:space="preserve"> NUMPAGES  </w:instrText>
    </w:r>
    <w:r w:rsidR="00940C36" w:rsidRPr="0023344B">
      <w:rPr>
        <w:rFonts w:ascii="Arial" w:hAnsi="Arial" w:cs="Arial"/>
        <w:i/>
        <w:color w:val="7F7F7F" w:themeColor="text1" w:themeTint="80"/>
        <w:sz w:val="18"/>
      </w:rPr>
      <w:fldChar w:fldCharType="separate"/>
    </w:r>
    <w:r w:rsidR="00ED21A5">
      <w:rPr>
        <w:rFonts w:ascii="Arial" w:hAnsi="Arial" w:cs="Arial"/>
        <w:i/>
        <w:noProof/>
        <w:color w:val="7F7F7F" w:themeColor="text1" w:themeTint="80"/>
        <w:sz w:val="18"/>
      </w:rPr>
      <w:t>5</w:t>
    </w:r>
    <w:r w:rsidR="00940C36" w:rsidRPr="0023344B">
      <w:rPr>
        <w:rFonts w:ascii="Arial" w:hAnsi="Arial" w:cs="Arial"/>
        <w:i/>
        <w:color w:val="7F7F7F" w:themeColor="text1" w:themeTint="80"/>
        <w:sz w:val="18"/>
      </w:rPr>
      <w:fldChar w:fldCharType="end"/>
    </w:r>
  </w:p>
  <w:p w:rsidR="00AD68B3" w:rsidRDefault="00AD68B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8B3" w:rsidRDefault="00AD68B3">
      <w:r>
        <w:separator/>
      </w:r>
    </w:p>
    <w:p w:rsidR="00AD68B3" w:rsidRDefault="00AD68B3"/>
  </w:footnote>
  <w:footnote w:type="continuationSeparator" w:id="0">
    <w:p w:rsidR="00AD68B3" w:rsidRDefault="00AD68B3">
      <w:r>
        <w:continuationSeparator/>
      </w:r>
    </w:p>
    <w:p w:rsidR="00AD68B3" w:rsidRDefault="00AD68B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8B3" w:rsidRPr="0023344B" w:rsidRDefault="00AD68B3" w:rsidP="00064FF4">
    <w:pPr>
      <w:pStyle w:val="Styl"/>
      <w:rPr>
        <w:i/>
        <w:color w:val="7F7F7F" w:themeColor="text1" w:themeTint="80"/>
        <w:sz w:val="18"/>
        <w:szCs w:val="18"/>
      </w:rPr>
    </w:pP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PŘÍLOHA č. </w:t>
    </w:r>
    <w:r w:rsidR="00ED21A5">
      <w:rPr>
        <w:b/>
        <w:i/>
        <w:color w:val="7F7F7F" w:themeColor="text1" w:themeTint="80"/>
        <w:sz w:val="18"/>
        <w:szCs w:val="18"/>
        <w:u w:val="single"/>
      </w:rPr>
      <w:t>18</w:t>
    </w:r>
    <w:r w:rsidRPr="0023344B">
      <w:rPr>
        <w:b/>
        <w:i/>
        <w:color w:val="7F7F7F" w:themeColor="text1" w:themeTint="80"/>
        <w:sz w:val="18"/>
        <w:szCs w:val="18"/>
        <w:u w:val="single"/>
      </w:rPr>
      <w:t xml:space="preserve"> Zadávací dokumentace</w:t>
    </w:r>
    <w:r w:rsidRPr="0023344B">
      <w:rPr>
        <w:b/>
        <w:i/>
        <w:color w:val="7F7F7F" w:themeColor="text1" w:themeTint="80"/>
        <w:sz w:val="18"/>
        <w:szCs w:val="18"/>
      </w:rPr>
      <w:t xml:space="preserve"> </w:t>
    </w:r>
    <w:r w:rsidRPr="0023344B">
      <w:rPr>
        <w:i/>
        <w:color w:val="7F7F7F" w:themeColor="text1" w:themeTint="80"/>
        <w:sz w:val="18"/>
        <w:szCs w:val="18"/>
      </w:rPr>
      <w:t xml:space="preserve">                                                                     </w:t>
    </w:r>
    <w:r>
      <w:rPr>
        <w:i/>
        <w:color w:val="7F7F7F" w:themeColor="text1" w:themeTint="80"/>
        <w:sz w:val="18"/>
        <w:szCs w:val="18"/>
      </w:rPr>
      <w:t xml:space="preserve">          </w:t>
    </w:r>
    <w:r w:rsidRPr="0023344B">
      <w:rPr>
        <w:i/>
        <w:color w:val="7F7F7F" w:themeColor="text1" w:themeTint="80"/>
        <w:sz w:val="18"/>
        <w:szCs w:val="18"/>
      </w:rPr>
      <w:t xml:space="preserve">           </w:t>
    </w:r>
    <w:proofErr w:type="spellStart"/>
    <w:proofErr w:type="gramStart"/>
    <w:r w:rsidRPr="0023344B">
      <w:rPr>
        <w:i/>
        <w:color w:val="7F7F7F" w:themeColor="text1" w:themeTint="80"/>
        <w:sz w:val="18"/>
        <w:szCs w:val="18"/>
      </w:rPr>
      <w:t>Sp.zn</w:t>
    </w:r>
    <w:proofErr w:type="spellEnd"/>
    <w:r w:rsidRPr="0023344B">
      <w:rPr>
        <w:i/>
        <w:color w:val="7F7F7F" w:themeColor="text1" w:themeTint="80"/>
        <w:sz w:val="18"/>
        <w:szCs w:val="18"/>
      </w:rPr>
      <w:t>.</w:t>
    </w:r>
    <w:proofErr w:type="gramEnd"/>
    <w:r w:rsidRPr="0023344B">
      <w:rPr>
        <w:i/>
        <w:color w:val="7F7F7F" w:themeColor="text1" w:themeTint="80"/>
        <w:sz w:val="18"/>
        <w:szCs w:val="18"/>
      </w:rPr>
      <w:t>: CN/</w:t>
    </w:r>
    <w:r w:rsidR="00ED21A5">
      <w:rPr>
        <w:i/>
        <w:color w:val="7F7F7F" w:themeColor="text1" w:themeTint="80"/>
        <w:sz w:val="18"/>
        <w:szCs w:val="18"/>
      </w:rPr>
      <w:t>363</w:t>
    </w:r>
    <w:r w:rsidRPr="0023344B">
      <w:rPr>
        <w:i/>
        <w:color w:val="7F7F7F" w:themeColor="text1" w:themeTint="80"/>
        <w:sz w:val="18"/>
        <w:szCs w:val="18"/>
      </w:rPr>
      <w:t>/CN/12</w:t>
    </w:r>
  </w:p>
  <w:p w:rsidR="00AD68B3" w:rsidRPr="0023344B" w:rsidRDefault="00AD68B3" w:rsidP="00064FF4">
    <w:pPr>
      <w:pStyle w:val="Styl"/>
      <w:jc w:val="right"/>
      <w:rPr>
        <w:i/>
        <w:color w:val="7F7F7F" w:themeColor="text1" w:themeTint="80"/>
        <w:sz w:val="18"/>
        <w:szCs w:val="18"/>
      </w:rPr>
    </w:pPr>
  </w:p>
  <w:p w:rsidR="00AD68B3" w:rsidRPr="0023344B" w:rsidRDefault="00AD68B3" w:rsidP="00064FF4">
    <w:pPr>
      <w:pStyle w:val="Styl"/>
      <w:pBdr>
        <w:bottom w:val="single" w:sz="4" w:space="1" w:color="7F7F7F" w:themeColor="text1" w:themeTint="80"/>
      </w:pBdr>
      <w:jc w:val="right"/>
      <w:rPr>
        <w:i/>
        <w:color w:val="333333"/>
        <w:sz w:val="20"/>
        <w:szCs w:val="20"/>
      </w:rPr>
    </w:pPr>
  </w:p>
  <w:p w:rsidR="00AD68B3" w:rsidRDefault="00AD68B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8100C"/>
    <w:multiLevelType w:val="hybridMultilevel"/>
    <w:tmpl w:val="6AFE03CE"/>
    <w:lvl w:ilvl="0" w:tplc="4C9A14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CB6B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CA871CC"/>
    <w:multiLevelType w:val="hybridMultilevel"/>
    <w:tmpl w:val="41FA7A2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15FA4"/>
    <w:multiLevelType w:val="hybridMultilevel"/>
    <w:tmpl w:val="AE4640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A5E64E5"/>
    <w:multiLevelType w:val="hybridMultilevel"/>
    <w:tmpl w:val="3F02869C"/>
    <w:lvl w:ilvl="0" w:tplc="EA9CE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9357E48"/>
    <w:multiLevelType w:val="hybridMultilevel"/>
    <w:tmpl w:val="C3483F40"/>
    <w:lvl w:ilvl="0" w:tplc="829E804E">
      <w:start w:val="1"/>
      <w:numFmt w:val="decimal"/>
      <w:lvlText w:val="%1)"/>
      <w:lvlJc w:val="left"/>
      <w:pPr>
        <w:ind w:left="360" w:hanging="360"/>
      </w:pPr>
    </w:lvl>
    <w:lvl w:ilvl="1" w:tplc="B39271C0" w:tentative="1">
      <w:start w:val="1"/>
      <w:numFmt w:val="lowerLetter"/>
      <w:lvlText w:val="%2."/>
      <w:lvlJc w:val="left"/>
      <w:pPr>
        <w:ind w:left="1080" w:hanging="360"/>
      </w:pPr>
    </w:lvl>
    <w:lvl w:ilvl="2" w:tplc="540CCEE8" w:tentative="1">
      <w:start w:val="1"/>
      <w:numFmt w:val="lowerRoman"/>
      <w:lvlText w:val="%3."/>
      <w:lvlJc w:val="right"/>
      <w:pPr>
        <w:ind w:left="1800" w:hanging="180"/>
      </w:pPr>
    </w:lvl>
    <w:lvl w:ilvl="3" w:tplc="1F42AE4E" w:tentative="1">
      <w:start w:val="1"/>
      <w:numFmt w:val="decimal"/>
      <w:lvlText w:val="%4."/>
      <w:lvlJc w:val="left"/>
      <w:pPr>
        <w:ind w:left="2520" w:hanging="360"/>
      </w:pPr>
    </w:lvl>
    <w:lvl w:ilvl="4" w:tplc="9A02AD92" w:tentative="1">
      <w:start w:val="1"/>
      <w:numFmt w:val="lowerLetter"/>
      <w:lvlText w:val="%5."/>
      <w:lvlJc w:val="left"/>
      <w:pPr>
        <w:ind w:left="3240" w:hanging="360"/>
      </w:pPr>
    </w:lvl>
    <w:lvl w:ilvl="5" w:tplc="6FC41EFE" w:tentative="1">
      <w:start w:val="1"/>
      <w:numFmt w:val="lowerRoman"/>
      <w:lvlText w:val="%6."/>
      <w:lvlJc w:val="right"/>
      <w:pPr>
        <w:ind w:left="3960" w:hanging="180"/>
      </w:pPr>
    </w:lvl>
    <w:lvl w:ilvl="6" w:tplc="5482518A" w:tentative="1">
      <w:start w:val="1"/>
      <w:numFmt w:val="decimal"/>
      <w:lvlText w:val="%7."/>
      <w:lvlJc w:val="left"/>
      <w:pPr>
        <w:ind w:left="4680" w:hanging="360"/>
      </w:pPr>
    </w:lvl>
    <w:lvl w:ilvl="7" w:tplc="B4360D2E" w:tentative="1">
      <w:start w:val="1"/>
      <w:numFmt w:val="lowerLetter"/>
      <w:lvlText w:val="%8."/>
      <w:lvlJc w:val="left"/>
      <w:pPr>
        <w:ind w:left="5400" w:hanging="360"/>
      </w:pPr>
    </w:lvl>
    <w:lvl w:ilvl="8" w:tplc="F414624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975371A"/>
    <w:multiLevelType w:val="hybridMultilevel"/>
    <w:tmpl w:val="B9BCDDDE"/>
    <w:lvl w:ilvl="0" w:tplc="6E68F19E">
      <w:start w:val="1"/>
      <w:numFmt w:val="decimal"/>
      <w:pStyle w:val="Styl1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CDD02BC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CDC6D602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8F089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D676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165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8C3D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F899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7822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8054FC"/>
    <w:multiLevelType w:val="multilevel"/>
    <w:tmpl w:val="C7244BFC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/>
  <w:rsids>
    <w:rsidRoot w:val="00094BF8"/>
    <w:rsid w:val="00001443"/>
    <w:rsid w:val="00016181"/>
    <w:rsid w:val="00026AEC"/>
    <w:rsid w:val="00026F12"/>
    <w:rsid w:val="000514EF"/>
    <w:rsid w:val="00051E06"/>
    <w:rsid w:val="00064FF4"/>
    <w:rsid w:val="00082BA0"/>
    <w:rsid w:val="00087CC9"/>
    <w:rsid w:val="00087D58"/>
    <w:rsid w:val="00094BF8"/>
    <w:rsid w:val="00095A6A"/>
    <w:rsid w:val="000976AE"/>
    <w:rsid w:val="000A6CAC"/>
    <w:rsid w:val="000B4D09"/>
    <w:rsid w:val="000B56E8"/>
    <w:rsid w:val="000C574A"/>
    <w:rsid w:val="000D2AC8"/>
    <w:rsid w:val="000E3998"/>
    <w:rsid w:val="000F4806"/>
    <w:rsid w:val="0010115D"/>
    <w:rsid w:val="00101F26"/>
    <w:rsid w:val="00104F09"/>
    <w:rsid w:val="00105542"/>
    <w:rsid w:val="0011115D"/>
    <w:rsid w:val="00120FAF"/>
    <w:rsid w:val="001340EC"/>
    <w:rsid w:val="00136C12"/>
    <w:rsid w:val="00140C44"/>
    <w:rsid w:val="00142FC6"/>
    <w:rsid w:val="00146BE0"/>
    <w:rsid w:val="00151B56"/>
    <w:rsid w:val="001525AF"/>
    <w:rsid w:val="00153E2D"/>
    <w:rsid w:val="00174002"/>
    <w:rsid w:val="00180BE8"/>
    <w:rsid w:val="001823F1"/>
    <w:rsid w:val="00183CF8"/>
    <w:rsid w:val="00191A8D"/>
    <w:rsid w:val="001A31CD"/>
    <w:rsid w:val="001A33AF"/>
    <w:rsid w:val="001A4755"/>
    <w:rsid w:val="001B1478"/>
    <w:rsid w:val="001B37CE"/>
    <w:rsid w:val="001B58A7"/>
    <w:rsid w:val="001B77B2"/>
    <w:rsid w:val="001C683F"/>
    <w:rsid w:val="001C7574"/>
    <w:rsid w:val="001D18FB"/>
    <w:rsid w:val="001D1BCB"/>
    <w:rsid w:val="001D6B48"/>
    <w:rsid w:val="001E6BAC"/>
    <w:rsid w:val="001F4F59"/>
    <w:rsid w:val="00206C9B"/>
    <w:rsid w:val="00210999"/>
    <w:rsid w:val="0022232B"/>
    <w:rsid w:val="002230CF"/>
    <w:rsid w:val="00224A71"/>
    <w:rsid w:val="00230678"/>
    <w:rsid w:val="002350D6"/>
    <w:rsid w:val="00236458"/>
    <w:rsid w:val="002475B3"/>
    <w:rsid w:val="002520BF"/>
    <w:rsid w:val="00252BF8"/>
    <w:rsid w:val="002532D1"/>
    <w:rsid w:val="00253ECB"/>
    <w:rsid w:val="002649E5"/>
    <w:rsid w:val="00274E6C"/>
    <w:rsid w:val="00276270"/>
    <w:rsid w:val="0028097F"/>
    <w:rsid w:val="00282B97"/>
    <w:rsid w:val="002872C0"/>
    <w:rsid w:val="00290C58"/>
    <w:rsid w:val="002932AF"/>
    <w:rsid w:val="002A07D0"/>
    <w:rsid w:val="002B172D"/>
    <w:rsid w:val="002B2D48"/>
    <w:rsid w:val="002B4820"/>
    <w:rsid w:val="002B4E94"/>
    <w:rsid w:val="002C2B62"/>
    <w:rsid w:val="002C2C25"/>
    <w:rsid w:val="002D35F4"/>
    <w:rsid w:val="002E49E5"/>
    <w:rsid w:val="002E4DF1"/>
    <w:rsid w:val="002E6D8D"/>
    <w:rsid w:val="002F59A0"/>
    <w:rsid w:val="00300FBE"/>
    <w:rsid w:val="003029D6"/>
    <w:rsid w:val="003034E5"/>
    <w:rsid w:val="003113CF"/>
    <w:rsid w:val="00317F5C"/>
    <w:rsid w:val="00327A88"/>
    <w:rsid w:val="00330E6B"/>
    <w:rsid w:val="00331EEB"/>
    <w:rsid w:val="0035252B"/>
    <w:rsid w:val="00356AC4"/>
    <w:rsid w:val="00357CA8"/>
    <w:rsid w:val="00362F7F"/>
    <w:rsid w:val="00365958"/>
    <w:rsid w:val="00374AE6"/>
    <w:rsid w:val="003932D1"/>
    <w:rsid w:val="00394FA1"/>
    <w:rsid w:val="003957B2"/>
    <w:rsid w:val="003975B2"/>
    <w:rsid w:val="003A389D"/>
    <w:rsid w:val="003A709A"/>
    <w:rsid w:val="003B56E6"/>
    <w:rsid w:val="003B739B"/>
    <w:rsid w:val="003B7F2E"/>
    <w:rsid w:val="003C0EF9"/>
    <w:rsid w:val="003C2C86"/>
    <w:rsid w:val="003D1D5A"/>
    <w:rsid w:val="003D2AD2"/>
    <w:rsid w:val="003D4716"/>
    <w:rsid w:val="003E2F91"/>
    <w:rsid w:val="003F5C3B"/>
    <w:rsid w:val="00403D68"/>
    <w:rsid w:val="00404B4B"/>
    <w:rsid w:val="00440EE7"/>
    <w:rsid w:val="00441FF4"/>
    <w:rsid w:val="0044570F"/>
    <w:rsid w:val="00451321"/>
    <w:rsid w:val="00477B5E"/>
    <w:rsid w:val="004804C0"/>
    <w:rsid w:val="0049112B"/>
    <w:rsid w:val="004A1AC1"/>
    <w:rsid w:val="004A324F"/>
    <w:rsid w:val="004A7EED"/>
    <w:rsid w:val="004B1DB4"/>
    <w:rsid w:val="004B274E"/>
    <w:rsid w:val="004B37D8"/>
    <w:rsid w:val="004C1B65"/>
    <w:rsid w:val="004D2248"/>
    <w:rsid w:val="004E0B43"/>
    <w:rsid w:val="004E75B7"/>
    <w:rsid w:val="004E7A9E"/>
    <w:rsid w:val="004F1DE6"/>
    <w:rsid w:val="004F4057"/>
    <w:rsid w:val="0051373F"/>
    <w:rsid w:val="005138C0"/>
    <w:rsid w:val="0051725A"/>
    <w:rsid w:val="00524062"/>
    <w:rsid w:val="0052576F"/>
    <w:rsid w:val="00537210"/>
    <w:rsid w:val="00544978"/>
    <w:rsid w:val="00553105"/>
    <w:rsid w:val="00556D2C"/>
    <w:rsid w:val="0058331C"/>
    <w:rsid w:val="005854E1"/>
    <w:rsid w:val="005A46CC"/>
    <w:rsid w:val="005E1DD8"/>
    <w:rsid w:val="005E23B0"/>
    <w:rsid w:val="005E796A"/>
    <w:rsid w:val="0060041E"/>
    <w:rsid w:val="006041AA"/>
    <w:rsid w:val="00605DE7"/>
    <w:rsid w:val="00606E07"/>
    <w:rsid w:val="00611E73"/>
    <w:rsid w:val="00615E21"/>
    <w:rsid w:val="00623EEC"/>
    <w:rsid w:val="00643CDE"/>
    <w:rsid w:val="006474C0"/>
    <w:rsid w:val="00652F27"/>
    <w:rsid w:val="00663447"/>
    <w:rsid w:val="006666C9"/>
    <w:rsid w:val="00676FEF"/>
    <w:rsid w:val="00680647"/>
    <w:rsid w:val="0068375E"/>
    <w:rsid w:val="00692234"/>
    <w:rsid w:val="006968DB"/>
    <w:rsid w:val="00696D62"/>
    <w:rsid w:val="006A25EB"/>
    <w:rsid w:val="006A5651"/>
    <w:rsid w:val="006A6D4D"/>
    <w:rsid w:val="006B12FD"/>
    <w:rsid w:val="006C43E5"/>
    <w:rsid w:val="006D1D5C"/>
    <w:rsid w:val="006D28C8"/>
    <w:rsid w:val="006D3B2C"/>
    <w:rsid w:val="006F0588"/>
    <w:rsid w:val="006F351D"/>
    <w:rsid w:val="00701911"/>
    <w:rsid w:val="00715CA0"/>
    <w:rsid w:val="0073037B"/>
    <w:rsid w:val="00732E48"/>
    <w:rsid w:val="00737D4D"/>
    <w:rsid w:val="0075026F"/>
    <w:rsid w:val="00751C49"/>
    <w:rsid w:val="0076685A"/>
    <w:rsid w:val="00767E05"/>
    <w:rsid w:val="0077665F"/>
    <w:rsid w:val="00776667"/>
    <w:rsid w:val="00782A27"/>
    <w:rsid w:val="00782E6C"/>
    <w:rsid w:val="007837CE"/>
    <w:rsid w:val="00792F68"/>
    <w:rsid w:val="007935CE"/>
    <w:rsid w:val="007A18FF"/>
    <w:rsid w:val="007A2314"/>
    <w:rsid w:val="007A356F"/>
    <w:rsid w:val="007B4922"/>
    <w:rsid w:val="007C4B78"/>
    <w:rsid w:val="007C68F2"/>
    <w:rsid w:val="007C7235"/>
    <w:rsid w:val="007D14D5"/>
    <w:rsid w:val="007E487D"/>
    <w:rsid w:val="007F3FD7"/>
    <w:rsid w:val="007F633C"/>
    <w:rsid w:val="00800144"/>
    <w:rsid w:val="008069D6"/>
    <w:rsid w:val="00814631"/>
    <w:rsid w:val="008153D7"/>
    <w:rsid w:val="008165B1"/>
    <w:rsid w:val="0081748A"/>
    <w:rsid w:val="00834E11"/>
    <w:rsid w:val="00862A8F"/>
    <w:rsid w:val="00863E88"/>
    <w:rsid w:val="00866087"/>
    <w:rsid w:val="008823FC"/>
    <w:rsid w:val="00882C1C"/>
    <w:rsid w:val="00886B7B"/>
    <w:rsid w:val="00891156"/>
    <w:rsid w:val="00896C9C"/>
    <w:rsid w:val="008A0AD3"/>
    <w:rsid w:val="008A7EB7"/>
    <w:rsid w:val="008B61DB"/>
    <w:rsid w:val="008C726B"/>
    <w:rsid w:val="008D410F"/>
    <w:rsid w:val="008E1345"/>
    <w:rsid w:val="008E1A91"/>
    <w:rsid w:val="008E3495"/>
    <w:rsid w:val="008E4383"/>
    <w:rsid w:val="0090407B"/>
    <w:rsid w:val="00914D38"/>
    <w:rsid w:val="009160C5"/>
    <w:rsid w:val="0092190F"/>
    <w:rsid w:val="00927786"/>
    <w:rsid w:val="00932C1D"/>
    <w:rsid w:val="00933268"/>
    <w:rsid w:val="009408D4"/>
    <w:rsid w:val="00940C36"/>
    <w:rsid w:val="0094241F"/>
    <w:rsid w:val="00942A0C"/>
    <w:rsid w:val="00943D4E"/>
    <w:rsid w:val="00944F73"/>
    <w:rsid w:val="00972B65"/>
    <w:rsid w:val="00972C51"/>
    <w:rsid w:val="00972DAC"/>
    <w:rsid w:val="00987022"/>
    <w:rsid w:val="009870F0"/>
    <w:rsid w:val="00987567"/>
    <w:rsid w:val="009903BA"/>
    <w:rsid w:val="009A09CE"/>
    <w:rsid w:val="009A2730"/>
    <w:rsid w:val="009A2EFD"/>
    <w:rsid w:val="009B352B"/>
    <w:rsid w:val="009C2A6D"/>
    <w:rsid w:val="009C46B2"/>
    <w:rsid w:val="009C5862"/>
    <w:rsid w:val="009D39D5"/>
    <w:rsid w:val="009D3F50"/>
    <w:rsid w:val="009D577B"/>
    <w:rsid w:val="009E7383"/>
    <w:rsid w:val="009F6513"/>
    <w:rsid w:val="009F7076"/>
    <w:rsid w:val="00A017F0"/>
    <w:rsid w:val="00A070B8"/>
    <w:rsid w:val="00A153CD"/>
    <w:rsid w:val="00A20A8F"/>
    <w:rsid w:val="00A3164A"/>
    <w:rsid w:val="00A40B9C"/>
    <w:rsid w:val="00A4497F"/>
    <w:rsid w:val="00A610AF"/>
    <w:rsid w:val="00A638BD"/>
    <w:rsid w:val="00A701D7"/>
    <w:rsid w:val="00A712EA"/>
    <w:rsid w:val="00A77AB8"/>
    <w:rsid w:val="00A77E69"/>
    <w:rsid w:val="00A81DA5"/>
    <w:rsid w:val="00A82A39"/>
    <w:rsid w:val="00A94BFF"/>
    <w:rsid w:val="00A966B5"/>
    <w:rsid w:val="00AA4250"/>
    <w:rsid w:val="00AA7618"/>
    <w:rsid w:val="00AB53C7"/>
    <w:rsid w:val="00AC05D1"/>
    <w:rsid w:val="00AC7BF4"/>
    <w:rsid w:val="00AD348B"/>
    <w:rsid w:val="00AD4D51"/>
    <w:rsid w:val="00AD57B6"/>
    <w:rsid w:val="00AD68B3"/>
    <w:rsid w:val="00AE1873"/>
    <w:rsid w:val="00B04D7E"/>
    <w:rsid w:val="00B121C5"/>
    <w:rsid w:val="00B32484"/>
    <w:rsid w:val="00B33DF6"/>
    <w:rsid w:val="00B33ED6"/>
    <w:rsid w:val="00B62CC1"/>
    <w:rsid w:val="00B7082A"/>
    <w:rsid w:val="00B7409C"/>
    <w:rsid w:val="00B90B28"/>
    <w:rsid w:val="00B968A2"/>
    <w:rsid w:val="00BB38C1"/>
    <w:rsid w:val="00BB572D"/>
    <w:rsid w:val="00BB595D"/>
    <w:rsid w:val="00BD1480"/>
    <w:rsid w:val="00BD20DA"/>
    <w:rsid w:val="00BD74E7"/>
    <w:rsid w:val="00BE0591"/>
    <w:rsid w:val="00BF35A1"/>
    <w:rsid w:val="00BF7325"/>
    <w:rsid w:val="00C01B0D"/>
    <w:rsid w:val="00C16538"/>
    <w:rsid w:val="00C16A95"/>
    <w:rsid w:val="00C341A2"/>
    <w:rsid w:val="00C361E1"/>
    <w:rsid w:val="00C472EC"/>
    <w:rsid w:val="00C671F8"/>
    <w:rsid w:val="00C7342C"/>
    <w:rsid w:val="00C771B6"/>
    <w:rsid w:val="00C91160"/>
    <w:rsid w:val="00C93847"/>
    <w:rsid w:val="00CB54FE"/>
    <w:rsid w:val="00CB6FDC"/>
    <w:rsid w:val="00CC26E6"/>
    <w:rsid w:val="00CC5DDE"/>
    <w:rsid w:val="00CC6141"/>
    <w:rsid w:val="00CD1FCC"/>
    <w:rsid w:val="00CE6DAE"/>
    <w:rsid w:val="00CF248F"/>
    <w:rsid w:val="00D02099"/>
    <w:rsid w:val="00D11F5A"/>
    <w:rsid w:val="00D27B17"/>
    <w:rsid w:val="00D335D8"/>
    <w:rsid w:val="00D41446"/>
    <w:rsid w:val="00D47042"/>
    <w:rsid w:val="00D530F5"/>
    <w:rsid w:val="00D65B2D"/>
    <w:rsid w:val="00D72E07"/>
    <w:rsid w:val="00D7600D"/>
    <w:rsid w:val="00D83CC1"/>
    <w:rsid w:val="00D92D37"/>
    <w:rsid w:val="00D96D14"/>
    <w:rsid w:val="00DA44BA"/>
    <w:rsid w:val="00DA6DE9"/>
    <w:rsid w:val="00DB0396"/>
    <w:rsid w:val="00DB51CA"/>
    <w:rsid w:val="00DC072A"/>
    <w:rsid w:val="00DC0A55"/>
    <w:rsid w:val="00DC3D34"/>
    <w:rsid w:val="00DC5CBB"/>
    <w:rsid w:val="00DF6D82"/>
    <w:rsid w:val="00E05FFB"/>
    <w:rsid w:val="00E1455D"/>
    <w:rsid w:val="00E147D8"/>
    <w:rsid w:val="00E150DD"/>
    <w:rsid w:val="00E15220"/>
    <w:rsid w:val="00E21B60"/>
    <w:rsid w:val="00E364BD"/>
    <w:rsid w:val="00E412B8"/>
    <w:rsid w:val="00E428A9"/>
    <w:rsid w:val="00E45DB0"/>
    <w:rsid w:val="00E50AE4"/>
    <w:rsid w:val="00E51D67"/>
    <w:rsid w:val="00E54DD6"/>
    <w:rsid w:val="00E57AA2"/>
    <w:rsid w:val="00E65406"/>
    <w:rsid w:val="00E7007E"/>
    <w:rsid w:val="00E835A3"/>
    <w:rsid w:val="00E9129D"/>
    <w:rsid w:val="00E93542"/>
    <w:rsid w:val="00EA4CF9"/>
    <w:rsid w:val="00EA5DA0"/>
    <w:rsid w:val="00EB13E8"/>
    <w:rsid w:val="00EC00D8"/>
    <w:rsid w:val="00ED06C0"/>
    <w:rsid w:val="00ED21A5"/>
    <w:rsid w:val="00ED3428"/>
    <w:rsid w:val="00EE30F1"/>
    <w:rsid w:val="00EE5807"/>
    <w:rsid w:val="00EE6321"/>
    <w:rsid w:val="00EF0303"/>
    <w:rsid w:val="00EF0B13"/>
    <w:rsid w:val="00EF41B1"/>
    <w:rsid w:val="00F03531"/>
    <w:rsid w:val="00F03FEF"/>
    <w:rsid w:val="00F0484A"/>
    <w:rsid w:val="00F05AC0"/>
    <w:rsid w:val="00F17016"/>
    <w:rsid w:val="00F228EE"/>
    <w:rsid w:val="00F3384F"/>
    <w:rsid w:val="00F42140"/>
    <w:rsid w:val="00F560D0"/>
    <w:rsid w:val="00F71314"/>
    <w:rsid w:val="00F82500"/>
    <w:rsid w:val="00FA437F"/>
    <w:rsid w:val="00FA51EC"/>
    <w:rsid w:val="00FA52BD"/>
    <w:rsid w:val="00FA6612"/>
    <w:rsid w:val="00FB52DA"/>
    <w:rsid w:val="00FB6522"/>
    <w:rsid w:val="00FC0DF8"/>
    <w:rsid w:val="00FC51A1"/>
    <w:rsid w:val="00FC7BDB"/>
    <w:rsid w:val="00FD0624"/>
    <w:rsid w:val="00FD17A2"/>
    <w:rsid w:val="00FD27A8"/>
    <w:rsid w:val="00FE33BB"/>
    <w:rsid w:val="00FE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B739B"/>
    <w:rPr>
      <w:sz w:val="24"/>
      <w:szCs w:val="24"/>
    </w:rPr>
  </w:style>
  <w:style w:type="paragraph" w:styleId="Nadpis1">
    <w:name w:val="heading 1"/>
    <w:basedOn w:val="Hlavnnadpis"/>
    <w:next w:val="Normln"/>
    <w:qFormat/>
    <w:rsid w:val="00DA44BA"/>
    <w:pPr>
      <w:spacing w:before="240" w:after="120"/>
      <w:ind w:left="431" w:hanging="357"/>
      <w:jc w:val="center"/>
      <w:outlineLvl w:val="0"/>
    </w:pPr>
    <w:rPr>
      <w:rFonts w:ascii="Arial" w:hAnsi="Arial" w:cs="Arial"/>
      <w:b/>
      <w:sz w:val="20"/>
      <w:szCs w:val="20"/>
    </w:rPr>
  </w:style>
  <w:style w:type="paragraph" w:styleId="Nadpis2">
    <w:name w:val="heading 2"/>
    <w:basedOn w:val="Normln"/>
    <w:next w:val="Normln"/>
    <w:qFormat/>
    <w:rsid w:val="003B739B"/>
    <w:pPr>
      <w:keepNext/>
      <w:jc w:val="center"/>
      <w:outlineLvl w:val="1"/>
    </w:pPr>
    <w:rPr>
      <w:rFonts w:ascii="Verdana" w:hAnsi="Verdana" w:cs="Arial"/>
      <w:b/>
      <w:bCs/>
      <w:sz w:val="28"/>
      <w:szCs w:val="28"/>
    </w:rPr>
  </w:style>
  <w:style w:type="paragraph" w:styleId="Nadpis3">
    <w:name w:val="heading 3"/>
    <w:basedOn w:val="Normln"/>
    <w:next w:val="Normln"/>
    <w:qFormat/>
    <w:rsid w:val="003B739B"/>
    <w:pPr>
      <w:keepNext/>
      <w:outlineLvl w:val="2"/>
    </w:pPr>
    <w:rPr>
      <w:rFonts w:ascii="Verdana" w:hAnsi="Verdana" w:cs="Arial"/>
      <w:b/>
      <w:bCs/>
      <w:szCs w:val="28"/>
    </w:rPr>
  </w:style>
  <w:style w:type="paragraph" w:styleId="Nadpis4">
    <w:name w:val="heading 4"/>
    <w:basedOn w:val="Normln"/>
    <w:next w:val="Normln"/>
    <w:qFormat/>
    <w:rsid w:val="003B739B"/>
    <w:pPr>
      <w:keepNext/>
      <w:outlineLvl w:val="3"/>
    </w:pPr>
    <w:rPr>
      <w:rFonts w:ascii="Verdana" w:hAnsi="Verdana" w:cs="Arial"/>
      <w:b/>
      <w:bCs/>
      <w:sz w:val="20"/>
    </w:rPr>
  </w:style>
  <w:style w:type="paragraph" w:styleId="Nadpis5">
    <w:name w:val="heading 5"/>
    <w:basedOn w:val="Normln"/>
    <w:next w:val="Normln"/>
    <w:qFormat/>
    <w:rsid w:val="003B739B"/>
    <w:pPr>
      <w:keepNext/>
      <w:ind w:left="-932" w:firstLine="932"/>
      <w:jc w:val="center"/>
      <w:outlineLvl w:val="4"/>
    </w:pPr>
    <w:rPr>
      <w:rFonts w:ascii="Verdana" w:hAnsi="Verdana"/>
      <w:b/>
      <w:bCs/>
      <w:sz w:val="32"/>
    </w:rPr>
  </w:style>
  <w:style w:type="paragraph" w:styleId="Nadpis6">
    <w:name w:val="heading 6"/>
    <w:basedOn w:val="Normln"/>
    <w:next w:val="Normln"/>
    <w:qFormat/>
    <w:rsid w:val="003B739B"/>
    <w:pPr>
      <w:keepNext/>
      <w:tabs>
        <w:tab w:val="left" w:pos="6120"/>
      </w:tabs>
      <w:jc w:val="both"/>
      <w:outlineLvl w:val="5"/>
    </w:pPr>
    <w:rPr>
      <w:rFonts w:ascii="Verdana" w:hAnsi="Verdana" w:cs="Arial"/>
      <w:b/>
      <w:bCs/>
      <w:sz w:val="20"/>
    </w:rPr>
  </w:style>
  <w:style w:type="paragraph" w:styleId="Nadpis7">
    <w:name w:val="heading 7"/>
    <w:basedOn w:val="Normln"/>
    <w:next w:val="Normln"/>
    <w:link w:val="Nadpis7Char"/>
    <w:qFormat/>
    <w:rsid w:val="00A82A39"/>
    <w:pPr>
      <w:spacing w:before="240" w:after="60"/>
      <w:ind w:left="1296" w:hanging="1296"/>
      <w:outlineLvl w:val="6"/>
    </w:pPr>
  </w:style>
  <w:style w:type="paragraph" w:styleId="Nadpis8">
    <w:name w:val="heading 8"/>
    <w:basedOn w:val="Normln"/>
    <w:next w:val="Normln"/>
    <w:link w:val="Nadpis8Char"/>
    <w:qFormat/>
    <w:rsid w:val="00A82A39"/>
    <w:pPr>
      <w:spacing w:before="240" w:after="60"/>
      <w:ind w:left="1440" w:hanging="144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A7EE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B739B"/>
    <w:pPr>
      <w:jc w:val="center"/>
    </w:pPr>
    <w:rPr>
      <w:rFonts w:ascii="Verdana" w:hAnsi="Verdana" w:cs="Arial"/>
      <w:sz w:val="20"/>
    </w:rPr>
  </w:style>
  <w:style w:type="paragraph" w:customStyle="1" w:styleId="xl55">
    <w:name w:val="xl55"/>
    <w:basedOn w:val="Normln"/>
    <w:rsid w:val="003B739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  <w:lang w:val="en-GB" w:eastAsia="en-US"/>
    </w:rPr>
  </w:style>
  <w:style w:type="paragraph" w:customStyle="1" w:styleId="Sendersaddress">
    <w:name w:val="Senders address"/>
    <w:basedOn w:val="Normln"/>
    <w:semiHidden/>
    <w:rsid w:val="003B739B"/>
    <w:pPr>
      <w:spacing w:line="200" w:lineRule="atLeast"/>
    </w:pPr>
    <w:rPr>
      <w:rFonts w:ascii="Verdana" w:hAnsi="Verdana"/>
      <w:noProof/>
      <w:spacing w:val="-4"/>
      <w:sz w:val="14"/>
      <w:szCs w:val="22"/>
      <w:lang w:eastAsia="da-DK"/>
    </w:rPr>
  </w:style>
  <w:style w:type="paragraph" w:styleId="Zkladntext2">
    <w:name w:val="Body Text 2"/>
    <w:basedOn w:val="Normln"/>
    <w:rsid w:val="003B739B"/>
    <w:pPr>
      <w:jc w:val="both"/>
    </w:pPr>
    <w:rPr>
      <w:rFonts w:ascii="Verdana" w:hAnsi="Verdana" w:cs="Arial"/>
      <w:b/>
      <w:bCs/>
      <w:sz w:val="20"/>
    </w:rPr>
  </w:style>
  <w:style w:type="paragraph" w:styleId="Zkladntext3">
    <w:name w:val="Body Text 3"/>
    <w:basedOn w:val="Normln"/>
    <w:rsid w:val="003B739B"/>
    <w:rPr>
      <w:rFonts w:ascii="Verdana" w:hAnsi="Verdana" w:cs="Arial"/>
      <w:sz w:val="22"/>
    </w:rPr>
  </w:style>
  <w:style w:type="paragraph" w:styleId="Zkladntextodsazen">
    <w:name w:val="Body Text Indent"/>
    <w:basedOn w:val="Normln"/>
    <w:rsid w:val="003B739B"/>
    <w:pPr>
      <w:ind w:firstLine="426"/>
      <w:jc w:val="both"/>
    </w:pPr>
    <w:rPr>
      <w:szCs w:val="20"/>
    </w:rPr>
  </w:style>
  <w:style w:type="paragraph" w:styleId="Zkladntextodsazen2">
    <w:name w:val="Body Text Indent 2"/>
    <w:basedOn w:val="Normln"/>
    <w:rsid w:val="003B739B"/>
    <w:pPr>
      <w:ind w:left="426" w:hanging="426"/>
      <w:jc w:val="both"/>
    </w:pPr>
    <w:rPr>
      <w:szCs w:val="20"/>
    </w:rPr>
  </w:style>
  <w:style w:type="paragraph" w:styleId="Nzev">
    <w:name w:val="Title"/>
    <w:basedOn w:val="Normln"/>
    <w:qFormat/>
    <w:rsid w:val="003B739B"/>
    <w:pPr>
      <w:jc w:val="center"/>
    </w:pPr>
    <w:rPr>
      <w:b/>
      <w:sz w:val="36"/>
      <w:szCs w:val="20"/>
    </w:rPr>
  </w:style>
  <w:style w:type="character" w:styleId="Hypertextovodkaz">
    <w:name w:val="Hyperlink"/>
    <w:basedOn w:val="Standardnpsmoodstavce"/>
    <w:rsid w:val="003B739B"/>
    <w:rPr>
      <w:color w:val="0000FF"/>
      <w:u w:val="single"/>
    </w:rPr>
  </w:style>
  <w:style w:type="paragraph" w:styleId="Zkladntextodsazen3">
    <w:name w:val="Body Text Indent 3"/>
    <w:basedOn w:val="Normln"/>
    <w:rsid w:val="003B739B"/>
    <w:pPr>
      <w:tabs>
        <w:tab w:val="left" w:pos="737"/>
      </w:tabs>
      <w:ind w:left="426" w:hanging="426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3B739B"/>
    <w:pPr>
      <w:tabs>
        <w:tab w:val="center" w:pos="4819"/>
        <w:tab w:val="right" w:pos="9638"/>
      </w:tabs>
      <w:spacing w:line="240" w:lineRule="atLeast"/>
    </w:pPr>
    <w:rPr>
      <w:rFonts w:ascii="Verdana" w:hAnsi="Verdana"/>
      <w:sz w:val="14"/>
      <w:szCs w:val="22"/>
      <w:lang w:eastAsia="da-DK"/>
    </w:rPr>
  </w:style>
  <w:style w:type="paragraph" w:styleId="Zpat">
    <w:name w:val="footer"/>
    <w:basedOn w:val="Normln"/>
    <w:rsid w:val="003B739B"/>
    <w:pPr>
      <w:tabs>
        <w:tab w:val="center" w:pos="4819"/>
        <w:tab w:val="right" w:pos="9638"/>
      </w:tabs>
    </w:pPr>
    <w:rPr>
      <w:rFonts w:ascii="Verdana" w:hAnsi="Verdana"/>
      <w:noProof/>
      <w:sz w:val="14"/>
      <w:szCs w:val="22"/>
      <w:lang w:eastAsia="da-DK"/>
    </w:rPr>
  </w:style>
  <w:style w:type="character" w:styleId="Odkaznakoment">
    <w:name w:val="annotation reference"/>
    <w:basedOn w:val="Standardnpsmoodstavce"/>
    <w:uiPriority w:val="99"/>
    <w:rsid w:val="00094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094BF8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94BF8"/>
    <w:rPr>
      <w:b/>
      <w:bCs/>
    </w:rPr>
  </w:style>
  <w:style w:type="paragraph" w:styleId="Textbubliny">
    <w:name w:val="Balloon Text"/>
    <w:basedOn w:val="Normln"/>
    <w:semiHidden/>
    <w:rsid w:val="00094BF8"/>
    <w:rPr>
      <w:rFonts w:ascii="Tahoma" w:hAnsi="Tahoma" w:cs="Tahoma"/>
      <w:sz w:val="16"/>
      <w:szCs w:val="16"/>
    </w:rPr>
  </w:style>
  <w:style w:type="paragraph" w:customStyle="1" w:styleId="Styl1">
    <w:name w:val="Styl1"/>
    <w:basedOn w:val="Nadpis9"/>
    <w:rsid w:val="004A7EED"/>
    <w:pPr>
      <w:keepNext/>
      <w:numPr>
        <w:numId w:val="1"/>
      </w:numPr>
      <w:spacing w:before="0" w:after="0"/>
    </w:pPr>
    <w:rPr>
      <w:rFonts w:ascii="Times New Roman" w:hAnsi="Times New Roman" w:cs="Times New Roman"/>
      <w:b/>
      <w:sz w:val="24"/>
      <w:szCs w:val="24"/>
      <w:u w:val="single"/>
    </w:rPr>
  </w:style>
  <w:style w:type="character" w:styleId="slostrnky">
    <w:name w:val="page number"/>
    <w:basedOn w:val="Standardnpsmoodstavce"/>
    <w:rsid w:val="00C671F8"/>
  </w:style>
  <w:style w:type="paragraph" w:styleId="Odstavecseseznamem">
    <w:name w:val="List Paragraph"/>
    <w:basedOn w:val="Normln"/>
    <w:link w:val="OdstavecseseznamemChar"/>
    <w:uiPriority w:val="99"/>
    <w:qFormat/>
    <w:rsid w:val="003932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mezer">
    <w:name w:val="No Spacing"/>
    <w:uiPriority w:val="1"/>
    <w:qFormat/>
    <w:rsid w:val="007C68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rosttext">
    <w:name w:val="Plain Text"/>
    <w:basedOn w:val="Normln"/>
    <w:link w:val="ProsttextChar"/>
    <w:rsid w:val="00A017F0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A017F0"/>
    <w:rPr>
      <w:rFonts w:ascii="Courier New" w:hAnsi="Courier New" w:cs="Courier New"/>
    </w:rPr>
  </w:style>
  <w:style w:type="paragraph" w:customStyle="1" w:styleId="Styl">
    <w:name w:val="Styl"/>
    <w:uiPriority w:val="99"/>
    <w:rsid w:val="00064FF4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Hlavnnadpis">
    <w:name w:val="Hlavní nadpis"/>
    <w:basedOn w:val="Normln"/>
    <w:rsid w:val="00DA44BA"/>
    <w:pPr>
      <w:numPr>
        <w:numId w:val="2"/>
      </w:numPr>
    </w:pPr>
  </w:style>
  <w:style w:type="character" w:customStyle="1" w:styleId="TextkomenteChar">
    <w:name w:val="Text komentáře Char"/>
    <w:basedOn w:val="Standardnpsmoodstavce"/>
    <w:link w:val="Textkomente"/>
    <w:rsid w:val="00210999"/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EF0B13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rsid w:val="00A82A39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A82A39"/>
    <w:rPr>
      <w:i/>
      <w:iCs/>
      <w:sz w:val="24"/>
      <w:szCs w:val="24"/>
    </w:rPr>
  </w:style>
  <w:style w:type="character" w:customStyle="1" w:styleId="st">
    <w:name w:val="st"/>
    <w:basedOn w:val="Standardnpsmoodstavce"/>
    <w:rsid w:val="007C72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pk@cnpk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741AA-EFEA-459B-A093-2AD79D0F4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5</Pages>
  <Words>2351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RADIOMETER ABL800 FLEX Série</vt:lpstr>
    </vt:vector>
  </TitlesOfParts>
  <Company>Microsoft</Company>
  <LinksUpToDate>false</LinksUpToDate>
  <CharactersWithSpaces>16283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RADIOMETER ABL800 FLEX Série</dc:title>
  <dc:creator>Rodiče</dc:creator>
  <cp:lastModifiedBy>Lucie Bouzková</cp:lastModifiedBy>
  <cp:revision>33</cp:revision>
  <cp:lastPrinted>2012-01-25T07:00:00Z</cp:lastPrinted>
  <dcterms:created xsi:type="dcterms:W3CDTF">2013-05-22T11:25:00Z</dcterms:created>
  <dcterms:modified xsi:type="dcterms:W3CDTF">2013-10-02T15:33:00Z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