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0BB53E94" w:rsidR="0027739A" w:rsidRPr="00D61B5B" w:rsidRDefault="00F32AC1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POŘÍZENÍ KANCELÁŘSKÉHO NÁBYTKU DO DEPOZITÁŘE V KAŠPERSKÝCH HORÁCH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0FD71ABA" w:rsidR="0027739A" w:rsidRPr="00876BE0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1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Muzeum Šumavy Sušice,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3D3C877D" w:rsidR="0027739A" w:rsidRPr="00D61B5B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2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náměstí Svobody 40, Sušice, 342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5C6FEB46" w:rsidR="0027739A" w:rsidRPr="00D61B5B" w:rsidRDefault="00F32AC1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3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00075116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3"/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037E7052" w:rsidR="0027739A" w:rsidRPr="00D61B5B" w:rsidRDefault="00F32AC1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tat"/>
                  <w:enabled/>
                  <w:calcOnExit w:val="0"/>
                  <w:textInput/>
                </w:ffData>
              </w:fldChar>
            </w:r>
            <w:bookmarkStart w:id="4" w:name="polZadStat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Mgr. Josef Hais - ředitel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4"/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4CA1B944" w:rsidR="0027739A" w:rsidRPr="00D61B5B" w:rsidRDefault="00BE6942" w:rsidP="00F32A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F32AC1">
              <w:rPr>
                <w:rFonts w:ascii="Calibri" w:eastAsia="Times New Roman" w:hAnsi="Calibri" w:cs="Calibri"/>
                <w:lang w:eastAsia="cs-CZ"/>
              </w:rPr>
              <w:t>D</w:t>
            </w:r>
            <w:r w:rsidR="0027739A" w:rsidRPr="00F32AC1">
              <w:rPr>
                <w:rFonts w:ascii="Calibri" w:eastAsia="Times New Roman" w:hAnsi="Calibri" w:cs="Calibri"/>
                <w:lang w:eastAsia="cs-CZ"/>
              </w:rPr>
              <w:t>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37161CE7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bookmarkStart w:id="5" w:name="_GoBack"/>
      <w:bookmarkEnd w:id="5"/>
      <w:r w:rsidR="00C81055" w:rsidRPr="00F32AC1">
        <w:rPr>
          <w:rFonts w:ascii="Calibri" w:eastAsia="Times New Roman" w:hAnsi="Calibri" w:cs="Calibri"/>
          <w:lang w:eastAsia="cs-CZ"/>
        </w:rPr>
        <w:t>dodávky</w:t>
      </w:r>
      <w:r w:rsidRPr="00F32AC1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F32AC1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2022-05-17T11:31:00Z</dcterms:modified>
</cp:coreProperties>
</file>