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0B3CB2F" w:rsidR="00BB7C56" w:rsidRPr="00BB47C7" w:rsidRDefault="005956A0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44"/>
        </w:rPr>
        <w:t>NÁVRH RÁMCOVÉ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40C4B627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A96DEA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35FCB709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049973FD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C85C6B">
        <w:rPr>
          <w:rFonts w:asciiTheme="minorHAnsi" w:hAnsiTheme="minorHAnsi" w:cstheme="minorHAnsi"/>
          <w:sz w:val="22"/>
          <w:szCs w:val="22"/>
        </w:rPr>
        <w:t xml:space="preserve">Bc. Petra Matějková, </w:t>
      </w:r>
      <w:r w:rsidR="000B02F9">
        <w:rPr>
          <w:rFonts w:asciiTheme="minorHAnsi" w:hAnsiTheme="minorHAnsi" w:cstheme="minorHAnsi"/>
          <w:sz w:val="22"/>
          <w:szCs w:val="22"/>
        </w:rPr>
        <w:t>odborná referentka, petra.matejkova@cnpk.cz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67D90B91" w:rsidR="004B2C3B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1658E7CC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6D552C05" w14:textId="6F88641B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786AF81" w14:textId="57FCA451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507D317" w14:textId="236B1E5D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1839CA23" w14:textId="2FCBEEC7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C0C5DB4" w14:textId="739D15D6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173BD0D" w14:textId="15515B36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8FABBA8" w14:textId="3D397513" w:rsidR="00017482" w:rsidRPr="00D8665E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FF0AC70" w:rsidR="00B67DEE" w:rsidRPr="00B67DEE" w:rsidRDefault="00B67DEE" w:rsidP="000B02F9">
      <w:pPr>
        <w:pStyle w:val="Nadpis2"/>
        <w:rPr>
          <w:b/>
        </w:rPr>
      </w:pPr>
      <w:r w:rsidRPr="00B67DEE">
        <w:t>Rámcová dohoda (dále jen „Dohoda“) je uzavřena na základě</w:t>
      </w:r>
      <w:r w:rsidR="000B02F9">
        <w:t xml:space="preserve"> </w:t>
      </w:r>
      <w:r w:rsidR="00924B94">
        <w:t>veřejné zakázky</w:t>
      </w:r>
      <w:r w:rsidR="000B02F9">
        <w:t xml:space="preserve"> malého rozsahu</w:t>
      </w:r>
      <w:r w:rsidR="00924B94">
        <w:t xml:space="preserve"> pod názvem „</w:t>
      </w:r>
      <w:r w:rsidR="000B02F9" w:rsidRPr="000B02F9">
        <w:rPr>
          <w:rFonts w:asciiTheme="minorHAnsi" w:hAnsiTheme="minorHAnsi" w:cstheme="minorHAnsi"/>
          <w:sz w:val="22"/>
          <w:szCs w:val="22"/>
        </w:rPr>
        <w:t xml:space="preserve">Dodávka </w:t>
      </w:r>
      <w:r w:rsidR="00E00963">
        <w:rPr>
          <w:rFonts w:asciiTheme="minorHAnsi" w:hAnsiTheme="minorHAnsi" w:cstheme="minorHAnsi"/>
          <w:sz w:val="22"/>
          <w:szCs w:val="22"/>
        </w:rPr>
        <w:t>kancelářského nábytku</w:t>
      </w:r>
      <w:r w:rsidR="000B02F9" w:rsidRPr="000B02F9">
        <w:rPr>
          <w:rFonts w:asciiTheme="minorHAnsi" w:hAnsiTheme="minorHAnsi" w:cstheme="minorHAnsi"/>
          <w:sz w:val="22"/>
          <w:szCs w:val="22"/>
        </w:rPr>
        <w:t xml:space="preserve"> pro Plzeňský kraj 2022</w:t>
      </w:r>
      <w:r w:rsidR="00924B94">
        <w:t>“</w:t>
      </w:r>
      <w:r w:rsidRPr="00B67DEE">
        <w:t>.</w:t>
      </w:r>
    </w:p>
    <w:p w14:paraId="14E5854A" w14:textId="142471E3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0B02F9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E91883" w:rsidRPr="007F14D0">
        <w:rPr>
          <w:rFonts w:asciiTheme="minorHAnsi" w:hAnsiTheme="minorHAnsi" w:cstheme="minorHAnsi"/>
          <w:sz w:val="22"/>
          <w:szCs w:val="22"/>
        </w:rPr>
        <w:t xml:space="preserve">kupujících - </w:t>
      </w:r>
      <w:r w:rsidR="00924B94" w:rsidRPr="007F14D0">
        <w:rPr>
          <w:rFonts w:asciiTheme="minorHAnsi" w:hAnsiTheme="minorHAnsi" w:cstheme="minorHAnsi"/>
          <w:sz w:val="22"/>
          <w:szCs w:val="22"/>
        </w:rPr>
        <w:t xml:space="preserve">organizací PK), kteří jsou uvedeni v příloze č. </w:t>
      </w:r>
      <w:r w:rsidR="000B02F9" w:rsidRPr="007F14D0">
        <w:rPr>
          <w:rFonts w:asciiTheme="minorHAnsi" w:hAnsiTheme="minorHAnsi" w:cstheme="minorHAnsi"/>
          <w:sz w:val="22"/>
          <w:szCs w:val="22"/>
        </w:rPr>
        <w:t>5</w:t>
      </w:r>
      <w:r w:rsidR="00924B94" w:rsidRPr="007F14D0">
        <w:rPr>
          <w:rFonts w:asciiTheme="minorHAnsi" w:hAnsiTheme="minorHAnsi" w:cstheme="minorHAnsi"/>
          <w:sz w:val="22"/>
          <w:szCs w:val="22"/>
        </w:rPr>
        <w:t xml:space="preserve"> Výzvy</w:t>
      </w:r>
      <w:r w:rsidR="00924B94">
        <w:rPr>
          <w:rFonts w:asciiTheme="minorHAnsi" w:hAnsiTheme="minorHAnsi" w:cstheme="minorHAnsi"/>
          <w:sz w:val="22"/>
          <w:szCs w:val="22"/>
        </w:rPr>
        <w:t xml:space="preserve">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595BEA0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848E6">
        <w:rPr>
          <w:rFonts w:asciiTheme="minorHAnsi" w:hAnsiTheme="minorHAnsi" w:cstheme="minorHAnsi"/>
          <w:sz w:val="22"/>
          <w:szCs w:val="22"/>
        </w:rPr>
        <w:t>kancelářského nábytku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D3A5FA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774274">
        <w:rPr>
          <w:rFonts w:asciiTheme="minorHAnsi" w:hAnsiTheme="minorHAnsi" w:cstheme="minorHAnsi"/>
          <w:sz w:val="22"/>
          <w:szCs w:val="22"/>
        </w:rPr>
        <w:t>2</w:t>
      </w:r>
      <w:r w:rsidR="00C85C6B">
        <w:rPr>
          <w:rFonts w:asciiTheme="minorHAnsi" w:hAnsiTheme="minorHAnsi" w:cstheme="minorHAnsi"/>
          <w:sz w:val="22"/>
          <w:szCs w:val="22"/>
        </w:rPr>
        <w:t xml:space="preserve"> (</w:t>
      </w:r>
      <w:r w:rsidR="00180819">
        <w:rPr>
          <w:rFonts w:asciiTheme="minorHAnsi" w:hAnsiTheme="minorHAnsi" w:cstheme="minorHAnsi"/>
          <w:sz w:val="22"/>
          <w:szCs w:val="22"/>
        </w:rPr>
        <w:t>Technická specifikace</w:t>
      </w:r>
      <w:r w:rsidR="00C85C6B">
        <w:rPr>
          <w:rFonts w:asciiTheme="minorHAnsi" w:hAnsiTheme="minorHAnsi" w:cstheme="minorHAnsi"/>
          <w:sz w:val="22"/>
          <w:szCs w:val="22"/>
        </w:rPr>
        <w:t>)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F95476">
        <w:rPr>
          <w:rFonts w:asciiTheme="minorHAnsi" w:hAnsiTheme="minorHAnsi" w:cstheme="minorHAnsi"/>
          <w:sz w:val="22"/>
          <w:szCs w:val="22"/>
        </w:rPr>
        <w:t>ze</w:t>
      </w:r>
      <w:r w:rsidR="00060B37">
        <w:rPr>
          <w:rFonts w:asciiTheme="minorHAnsi" w:hAnsiTheme="minorHAnsi" w:cstheme="minorHAnsi"/>
          <w:sz w:val="22"/>
          <w:szCs w:val="22"/>
        </w:rPr>
        <w:t xml:space="preserve"> č</w:t>
      </w:r>
      <w:r w:rsidR="000B02F9">
        <w:rPr>
          <w:rFonts w:asciiTheme="minorHAnsi" w:hAnsiTheme="minorHAnsi" w:cstheme="minorHAnsi"/>
          <w:sz w:val="22"/>
          <w:szCs w:val="22"/>
        </w:rPr>
        <w:t xml:space="preserve">. </w:t>
      </w:r>
      <w:r w:rsidR="00180819">
        <w:rPr>
          <w:rFonts w:asciiTheme="minorHAnsi" w:hAnsiTheme="minorHAnsi" w:cstheme="minorHAnsi"/>
          <w:sz w:val="22"/>
          <w:szCs w:val="22"/>
        </w:rPr>
        <w:t>1</w:t>
      </w:r>
      <w:r w:rsidR="00F95476">
        <w:rPr>
          <w:rFonts w:asciiTheme="minorHAnsi" w:hAnsiTheme="minorHAnsi" w:cstheme="minorHAnsi"/>
          <w:sz w:val="22"/>
          <w:szCs w:val="22"/>
        </w:rPr>
        <w:t xml:space="preserve"> (Krycí list).</w:t>
      </w:r>
    </w:p>
    <w:p w14:paraId="3476CE70" w14:textId="08BB9CD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6319BA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848E6">
        <w:rPr>
          <w:b/>
          <w:sz w:val="22"/>
          <w:szCs w:val="22"/>
        </w:rPr>
        <w:t>20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848E6">
        <w:rPr>
          <w:b/>
          <w:sz w:val="22"/>
          <w:szCs w:val="22"/>
        </w:rPr>
        <w:t>10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34676C9C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1D704C">
        <w:rPr>
          <w:b/>
          <w:sz w:val="22"/>
          <w:szCs w:val="22"/>
        </w:rPr>
        <w:t>1 0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3C6B639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04B0F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>výši žádaného plnění dle čl.</w:t>
      </w:r>
      <w:r w:rsidR="00104B0F">
        <w:rPr>
          <w:sz w:val="22"/>
          <w:szCs w:val="22"/>
        </w:rPr>
        <w:t xml:space="preserve">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656768FA" w14:textId="4B3326E5" w:rsidR="007532FE" w:rsidRPr="006710A8" w:rsidRDefault="007532FE" w:rsidP="007532FE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>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D103DF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7532FE">
        <w:rPr>
          <w:rFonts w:asciiTheme="minorHAnsi" w:hAnsiTheme="minorHAnsi"/>
          <w:sz w:val="22"/>
          <w:szCs w:val="22"/>
        </w:rPr>
        <w:t xml:space="preserve"> dle přílohy č. 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7532FE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61A0F03C" w14:textId="1B48CEBF" w:rsidR="00180819" w:rsidRDefault="00180819" w:rsidP="00180819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7D27C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608EAD41" w14:textId="309B16EC" w:rsidR="000F3CE2" w:rsidRPr="000F3CE2" w:rsidRDefault="000F3CE2" w:rsidP="000F3CE2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0F3CE2">
        <w:rPr>
          <w:rFonts w:asciiTheme="minorHAnsi" w:hAnsiTheme="minorHAnsi" w:cs="Arial"/>
          <w:sz w:val="22"/>
          <w:szCs w:val="22"/>
        </w:rPr>
        <w:t>Prodávající je povinen zajistit, aby byly veškeré obaly z recyklovatelných materiálů, materiálů z obnovitelných zdrojů nebo se jednalo o obalový systém pro opakované použití. Zároveň je prodávající povinen zajistit, aby byly obalové materiály ručně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08DB254E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532FE">
        <w:rPr>
          <w:rFonts w:asciiTheme="minorHAnsi" w:hAnsiTheme="minorHAnsi"/>
          <w:sz w:val="22"/>
          <w:szCs w:val="22"/>
        </w:rPr>
        <w:t>2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2DBBF5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</w:t>
      </w:r>
      <w:r w:rsidR="007532FE">
        <w:rPr>
          <w:rFonts w:asciiTheme="minorHAnsi" w:hAnsiTheme="minorHAnsi"/>
          <w:sz w:val="22"/>
          <w:szCs w:val="22"/>
        </w:rPr>
        <w:t xml:space="preserve"> </w:t>
      </w:r>
      <w:r w:rsidR="007532FE" w:rsidRPr="006710A8">
        <w:rPr>
          <w:rFonts w:asciiTheme="minorHAnsi" w:hAnsiTheme="minorHAnsi"/>
          <w:b/>
          <w:sz w:val="22"/>
          <w:szCs w:val="22"/>
        </w:rPr>
        <w:t>1 950 000,00</w:t>
      </w:r>
      <w:r w:rsidR="007532FE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7532FE"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7532FE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="007532FE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7532FE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653DEA32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="00C85C6B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  <w:r w:rsidR="00C85C6B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min. 24 měsíců</w:t>
      </w:r>
      <w:r w:rsidR="00C85C6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218AD64B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626FCD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0437F5D1" w14:textId="3F721AA3" w:rsidR="00626FCD" w:rsidRPr="007D27C2" w:rsidRDefault="00626FCD" w:rsidP="00626FCD">
      <w:pPr>
        <w:pStyle w:val="Nadpis3"/>
        <w:numPr>
          <w:ilvl w:val="0"/>
          <w:numId w:val="0"/>
        </w:numPr>
        <w:ind w:left="1146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7D27C2">
        <w:rPr>
          <w:rFonts w:asciiTheme="minorHAnsi" w:hAnsiTheme="minorHAnsi"/>
          <w:sz w:val="22"/>
          <w:szCs w:val="22"/>
        </w:rPr>
        <w:t xml:space="preserve">11.2.4 </w:t>
      </w:r>
      <w:r>
        <w:rPr>
          <w:rFonts w:asciiTheme="minorHAnsi" w:hAnsiTheme="minorHAnsi"/>
          <w:sz w:val="22"/>
          <w:szCs w:val="22"/>
        </w:rPr>
        <w:t xml:space="preserve">  pokud</w:t>
      </w:r>
      <w:proofErr w:type="gramEnd"/>
      <w:r w:rsidRPr="007D27C2">
        <w:rPr>
          <w:rFonts w:asciiTheme="minorHAnsi" w:hAnsiTheme="minorHAnsi"/>
          <w:sz w:val="22"/>
          <w:szCs w:val="22"/>
        </w:rPr>
        <w:t xml:space="preserve"> kupující zjistí, že v rámci plnění došlo k porušení pracovněprávních předpisů, zejména zákona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D27C2">
        <w:rPr>
          <w:rFonts w:asciiTheme="minorHAnsi" w:hAnsi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59FEDDAB" w14:textId="77777777" w:rsidR="00626FCD" w:rsidRPr="00626FCD" w:rsidRDefault="00626FCD" w:rsidP="00626FCD">
      <w:pPr>
        <w:ind w:left="567"/>
      </w:pPr>
    </w:p>
    <w:p w14:paraId="54B48BB2" w14:textId="77777777" w:rsidR="00626FCD" w:rsidRPr="00626FCD" w:rsidRDefault="00626FCD" w:rsidP="00626FCD"/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lastRenderedPageBreak/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77777777" w:rsidR="00DA77F1" w:rsidRDefault="00DA77F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6A55C5CB" w14:textId="37CAEEB5" w:rsidR="007532FE" w:rsidRPr="006E7307" w:rsidRDefault="007532FE" w:rsidP="0061608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1 - Krycí list nabídky</w:t>
      </w:r>
    </w:p>
    <w:p w14:paraId="7791EF15" w14:textId="16D58C7C" w:rsidR="007532FE" w:rsidRPr="006E7307" w:rsidRDefault="007532FE" w:rsidP="0061608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Technická specifikace </w:t>
      </w:r>
    </w:p>
    <w:p w14:paraId="348DFFE0" w14:textId="61F7D4ED" w:rsidR="007532FE" w:rsidRPr="006E7307" w:rsidRDefault="007532FE" w:rsidP="00774274">
      <w:pPr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5EAC06BB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1BF01A4E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77777777" w:rsidR="002142D6" w:rsidRPr="00211C28" w:rsidRDefault="006E7307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77777777" w:rsidR="002142D6" w:rsidRPr="00C85C6B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C85C6B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>/jméno a příjmení/</w:t>
            </w:r>
            <w:r w:rsidR="00B63D77" w:rsidRPr="00C85C6B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5DDC986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A96DE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24AFB89" w14:textId="77777777" w:rsidR="004B2C3B" w:rsidRPr="00C85C6B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C85C6B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C85C6B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C85C6B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</w:t>
            </w:r>
            <w:r w:rsidR="0009465D" w:rsidRPr="00C85C6B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62071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62071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5F22AFA" w:rsidR="005A5701" w:rsidRPr="00BB47C7" w:rsidRDefault="00F6207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6675D63" wp14:editId="6C81C435">
          <wp:simplePos x="0" y="0"/>
          <wp:positionH relativeFrom="column">
            <wp:posOffset>-237507</wp:posOffset>
          </wp:positionH>
          <wp:positionV relativeFrom="paragraph">
            <wp:posOffset>-499399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701"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0B02F9">
      <w:rPr>
        <w:rFonts w:asciiTheme="minorHAnsi" w:hAnsiTheme="minorHAnsi" w:cstheme="minorHAnsi"/>
        <w:color w:val="808080" w:themeColor="background1" w:themeShade="80"/>
        <w:sz w:val="20"/>
      </w:rPr>
      <w:t xml:space="preserve">3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2F9"/>
    <w:rsid w:val="000B14CB"/>
    <w:rsid w:val="000B1D17"/>
    <w:rsid w:val="000B3C25"/>
    <w:rsid w:val="000B3EDA"/>
    <w:rsid w:val="000B43DC"/>
    <w:rsid w:val="000D194B"/>
    <w:rsid w:val="000E2B61"/>
    <w:rsid w:val="000F2F70"/>
    <w:rsid w:val="000F3CE2"/>
    <w:rsid w:val="000F52D0"/>
    <w:rsid w:val="000F60A8"/>
    <w:rsid w:val="000F73E4"/>
    <w:rsid w:val="00104B0F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0819"/>
    <w:rsid w:val="00182533"/>
    <w:rsid w:val="00187DD3"/>
    <w:rsid w:val="00193A80"/>
    <w:rsid w:val="001956DE"/>
    <w:rsid w:val="00196129"/>
    <w:rsid w:val="00197892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D704C"/>
    <w:rsid w:val="001E26CD"/>
    <w:rsid w:val="001E3516"/>
    <w:rsid w:val="001E641E"/>
    <w:rsid w:val="001F0587"/>
    <w:rsid w:val="001F3668"/>
    <w:rsid w:val="002062C7"/>
    <w:rsid w:val="00211C28"/>
    <w:rsid w:val="002142D6"/>
    <w:rsid w:val="00227BE5"/>
    <w:rsid w:val="0023516D"/>
    <w:rsid w:val="002351A2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355D7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311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848E6"/>
    <w:rsid w:val="00590CF0"/>
    <w:rsid w:val="005956A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26FCD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32FE"/>
    <w:rsid w:val="00760CDF"/>
    <w:rsid w:val="00770982"/>
    <w:rsid w:val="007728D3"/>
    <w:rsid w:val="00773519"/>
    <w:rsid w:val="00774274"/>
    <w:rsid w:val="0078031F"/>
    <w:rsid w:val="00790AA4"/>
    <w:rsid w:val="007926CF"/>
    <w:rsid w:val="007A075D"/>
    <w:rsid w:val="007A6E3B"/>
    <w:rsid w:val="007B3BE1"/>
    <w:rsid w:val="007B44B4"/>
    <w:rsid w:val="007B5C7F"/>
    <w:rsid w:val="007C0B7E"/>
    <w:rsid w:val="007D2E36"/>
    <w:rsid w:val="007E30CD"/>
    <w:rsid w:val="007E3D91"/>
    <w:rsid w:val="007F03AB"/>
    <w:rsid w:val="007F14D0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1BB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96DEA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1FBD"/>
    <w:rsid w:val="00C62DFD"/>
    <w:rsid w:val="00C64F4F"/>
    <w:rsid w:val="00C65F5B"/>
    <w:rsid w:val="00C66717"/>
    <w:rsid w:val="00C7122D"/>
    <w:rsid w:val="00C74E57"/>
    <w:rsid w:val="00C85C6B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0963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2071"/>
    <w:rsid w:val="00F6730A"/>
    <w:rsid w:val="00F7257A"/>
    <w:rsid w:val="00F75B13"/>
    <w:rsid w:val="00F95476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3E7C-6512-498D-A4B7-26B6F46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105</TotalTime>
  <Pages>6</Pages>
  <Words>1892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12689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Jan Kronďák</cp:lastModifiedBy>
  <cp:revision>30</cp:revision>
  <cp:lastPrinted>2021-09-13T06:17:00Z</cp:lastPrinted>
  <dcterms:created xsi:type="dcterms:W3CDTF">2020-07-17T06:20:00Z</dcterms:created>
  <dcterms:modified xsi:type="dcterms:W3CDTF">2021-09-14T06:23:00Z</dcterms:modified>
</cp:coreProperties>
</file>