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AE" w:rsidTr="006E4CAE">
        <w:tc>
          <w:tcPr>
            <w:tcW w:w="9062" w:type="dxa"/>
            <w:shd w:val="clear" w:color="auto" w:fill="F2F2F2" w:themeFill="background1" w:themeFillShade="F2"/>
          </w:tcPr>
          <w:p w:rsidR="006E4CAE" w:rsidRDefault="006E4CAE" w:rsidP="00F67753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1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Technická specifikace </w:t>
            </w:r>
          </w:p>
        </w:tc>
      </w:tr>
    </w:tbl>
    <w:p w:rsidR="0089029D" w:rsidRPr="00E734A5" w:rsidRDefault="0089029D" w:rsidP="009C304F">
      <w:pPr>
        <w:spacing w:after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C304F" w:rsidTr="0089029D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C304F" w:rsidRPr="00B31AB3" w:rsidRDefault="009C304F" w:rsidP="00890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:rsidR="009C304F" w:rsidRPr="00B31AB3" w:rsidRDefault="009C304F" w:rsidP="008902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9C304F" w:rsidTr="0089029D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C304F" w:rsidRPr="00B31AB3" w:rsidRDefault="009C304F" w:rsidP="00890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232" w:type="dxa"/>
            <w:vAlign w:val="center"/>
          </w:tcPr>
          <w:p w:rsidR="009C304F" w:rsidRPr="00B31AB3" w:rsidRDefault="009C304F" w:rsidP="008902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9C304F" w:rsidTr="0089029D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C304F" w:rsidRPr="00B31AB3" w:rsidRDefault="009C304F" w:rsidP="00890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232" w:type="dxa"/>
            <w:vAlign w:val="center"/>
          </w:tcPr>
          <w:p w:rsidR="009C304F" w:rsidRPr="00B31AB3" w:rsidRDefault="009C304F" w:rsidP="008902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9C304F" w:rsidTr="0089029D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04F" w:rsidRPr="00B31AB3" w:rsidRDefault="009C304F" w:rsidP="00890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9C304F" w:rsidRPr="00B31AB3" w:rsidRDefault="009C304F" w:rsidP="008902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9C304F" w:rsidRPr="00E734A5" w:rsidRDefault="009C304F" w:rsidP="00E734A5">
      <w:pPr>
        <w:spacing w:after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04F" w:rsidTr="0089029D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9C304F" w:rsidRPr="0054175A" w:rsidRDefault="009C304F" w:rsidP="008902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75A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</w:tr>
      <w:tr w:rsidR="009C304F" w:rsidTr="0089029D">
        <w:trPr>
          <w:trHeight w:val="805"/>
        </w:trPr>
        <w:tc>
          <w:tcPr>
            <w:tcW w:w="9062" w:type="dxa"/>
            <w:vAlign w:val="center"/>
          </w:tcPr>
          <w:p w:rsidR="009C304F" w:rsidRPr="00BA5172" w:rsidRDefault="001F4C83" w:rsidP="0089029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C83">
              <w:rPr>
                <w:rFonts w:ascii="Arial" w:hAnsi="Arial" w:cs="Arial"/>
                <w:b/>
                <w:sz w:val="20"/>
                <w:szCs w:val="20"/>
              </w:rPr>
              <w:t>Zabezpečení počítačové sítě – opatření GDPR</w:t>
            </w:r>
          </w:p>
          <w:p w:rsidR="009C304F" w:rsidRPr="0054175A" w:rsidRDefault="001F4C83" w:rsidP="002E68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C83">
              <w:rPr>
                <w:rFonts w:ascii="Arial" w:hAnsi="Arial" w:cs="Arial"/>
                <w:sz w:val="20"/>
              </w:rPr>
              <w:t>Veřejná zakázka malého rozsahu na dodávky zařazená do III. SKUPINY Směrnice RPK č. 2/2016, o zadávání veřejných zakázek, zadávaná mimo působnost zákona č. 134/2016 Sb., o zadávání veřejných zakázek</w:t>
            </w:r>
          </w:p>
        </w:tc>
      </w:tr>
    </w:tbl>
    <w:p w:rsidR="004469AE" w:rsidRDefault="004469AE" w:rsidP="00ED4043">
      <w:pPr>
        <w:spacing w:after="0"/>
        <w:jc w:val="center"/>
      </w:pPr>
    </w:p>
    <w:p w:rsidR="00AE2AE5" w:rsidRPr="00D51FBF" w:rsidRDefault="00AE2AE5" w:rsidP="00AE2AE5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color w:val="0000FF"/>
          <w:sz w:val="20"/>
        </w:rPr>
      </w:pPr>
    </w:p>
    <w:p w:rsidR="00202AFB" w:rsidRPr="00D51FBF" w:rsidRDefault="00AE2AE5" w:rsidP="00AE2AE5">
      <w:pPr>
        <w:pStyle w:val="Odstavecseseznamem"/>
        <w:ind w:left="709" w:hanging="709"/>
        <w:jc w:val="center"/>
        <w:rPr>
          <w:rFonts w:ascii="Arial" w:hAnsi="Arial" w:cs="Arial"/>
          <w:b/>
          <w:color w:val="0000FF"/>
          <w:sz w:val="20"/>
        </w:rPr>
      </w:pPr>
      <w:r w:rsidRPr="00D51FBF">
        <w:rPr>
          <w:rFonts w:ascii="Arial" w:hAnsi="Arial" w:cs="Arial"/>
          <w:b/>
          <w:color w:val="0000FF"/>
          <w:sz w:val="20"/>
        </w:rPr>
        <w:t>TECHNICKÁ SPECIFIKACE</w:t>
      </w:r>
      <w:r w:rsidR="001F4C83">
        <w:rPr>
          <w:rFonts w:ascii="Arial" w:hAnsi="Arial" w:cs="Arial"/>
          <w:b/>
          <w:color w:val="0000FF"/>
          <w:sz w:val="20"/>
        </w:rPr>
        <w:t xml:space="preserve"> </w:t>
      </w:r>
      <w:r w:rsidR="001F4C83" w:rsidRPr="001F4C83">
        <w:rPr>
          <w:rFonts w:ascii="Arial" w:hAnsi="Arial" w:cs="Arial"/>
          <w:b/>
          <w:color w:val="0000FF"/>
          <w:sz w:val="20"/>
        </w:rPr>
        <w:t>SW a HW – GDPR / ICT</w:t>
      </w:r>
    </w:p>
    <w:p w:rsidR="004B55CB" w:rsidRDefault="004B55CB" w:rsidP="004B55CB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 stanovil v rámci Technické specifikace</w:t>
      </w:r>
      <w:r w:rsidR="00F677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veřejné zakázky níže uvedené požadované technické parametry, které představují minimální požadavky zadavatele na předmět plnění této části veřejné zakázky. </w:t>
      </w:r>
      <w:r w:rsidRPr="00D26BA3">
        <w:rPr>
          <w:rFonts w:ascii="Arial" w:hAnsi="Arial" w:cs="Arial"/>
          <w:sz w:val="20"/>
        </w:rPr>
        <w:t xml:space="preserve">Dodavatel musí </w:t>
      </w:r>
      <w:r>
        <w:rPr>
          <w:rFonts w:ascii="Arial" w:hAnsi="Arial" w:cs="Arial"/>
          <w:sz w:val="20"/>
        </w:rPr>
        <w:t xml:space="preserve">nabídnout takový předmět plnění veřejné zakázky, který bude splňovat tyto minimální požadavky na specifikaci. </w:t>
      </w:r>
      <w:r w:rsidRPr="00D26BA3">
        <w:rPr>
          <w:rFonts w:ascii="Arial" w:hAnsi="Arial" w:cs="Arial"/>
          <w:sz w:val="20"/>
        </w:rPr>
        <w:t xml:space="preserve">Dodavatel nesmí nabídnout </w:t>
      </w:r>
      <w:r>
        <w:rPr>
          <w:rFonts w:ascii="Arial" w:hAnsi="Arial" w:cs="Arial"/>
          <w:sz w:val="20"/>
        </w:rPr>
        <w:t>zboží s horšími parametry, může však nabídnout zboží, které</w:t>
      </w:r>
      <w:r w:rsidRPr="00D26BA3">
        <w:rPr>
          <w:rFonts w:ascii="Arial" w:hAnsi="Arial" w:cs="Arial"/>
          <w:sz w:val="20"/>
        </w:rPr>
        <w:t xml:space="preserve"> bude jednoznačně a bez pochybností lepší, výhodnější pro zadavatele, přičemž </w:t>
      </w:r>
      <w:r>
        <w:rPr>
          <w:rFonts w:ascii="Arial" w:hAnsi="Arial" w:cs="Arial"/>
          <w:sz w:val="20"/>
        </w:rPr>
        <w:t>bude stále splňovat stanovené minimální</w:t>
      </w:r>
      <w:r w:rsidRPr="00D26BA3">
        <w:rPr>
          <w:rFonts w:ascii="Arial" w:hAnsi="Arial" w:cs="Arial"/>
          <w:sz w:val="20"/>
        </w:rPr>
        <w:t xml:space="preserve"> požadavky</w:t>
      </w:r>
      <w:r>
        <w:rPr>
          <w:rFonts w:ascii="Arial" w:hAnsi="Arial" w:cs="Arial"/>
          <w:sz w:val="20"/>
        </w:rPr>
        <w:t xml:space="preserve"> zadavatele. </w:t>
      </w:r>
    </w:p>
    <w:p w:rsidR="00202AFB" w:rsidRPr="004469AE" w:rsidRDefault="004469AE" w:rsidP="00202AFB">
      <w:pPr>
        <w:tabs>
          <w:tab w:val="left" w:pos="1215"/>
        </w:tabs>
        <w:spacing w:after="0"/>
        <w:jc w:val="both"/>
      </w:pPr>
      <w:r>
        <w:tab/>
      </w:r>
    </w:p>
    <w:tbl>
      <w:tblPr>
        <w:tblStyle w:val="Mkatabulky"/>
        <w:tblpPr w:leftFromText="141" w:rightFromText="141" w:vertAnchor="text" w:horzAnchor="margin" w:tblpY="240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06"/>
      </w:tblGrid>
      <w:tr w:rsidR="009C304F" w:rsidTr="0089029D">
        <w:trPr>
          <w:trHeight w:val="2974"/>
        </w:trPr>
        <w:tc>
          <w:tcPr>
            <w:tcW w:w="9206" w:type="dxa"/>
            <w:shd w:val="clear" w:color="auto" w:fill="FFFFCC"/>
          </w:tcPr>
          <w:p w:rsidR="009C304F" w:rsidRPr="0062215B" w:rsidRDefault="002E68EB" w:rsidP="0089029D">
            <w:pPr>
              <w:spacing w:before="1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Poznámky k zadavatelem uvedené specifikaci položek</w:t>
            </w:r>
            <w:r w:rsidR="009C304F" w:rsidRPr="008A3BA9">
              <w:rPr>
                <w:rFonts w:ascii="Arial" w:hAnsi="Arial" w:cs="Arial"/>
                <w:sz w:val="20"/>
                <w:u w:val="single"/>
              </w:rPr>
              <w:t>:</w:t>
            </w:r>
            <w:r w:rsidR="009C304F" w:rsidRPr="0062215B">
              <w:rPr>
                <w:rFonts w:ascii="Arial" w:hAnsi="Arial" w:cs="Arial"/>
                <w:sz w:val="20"/>
              </w:rPr>
              <w:t xml:space="preserve">  </w:t>
            </w:r>
          </w:p>
          <w:p w:rsidR="009C304F" w:rsidRPr="002E68EB" w:rsidRDefault="009C304F" w:rsidP="002E68EB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E68EB">
              <w:rPr>
                <w:rFonts w:ascii="Arial" w:hAnsi="Arial" w:cs="Arial"/>
                <w:sz w:val="20"/>
              </w:rPr>
              <w:t xml:space="preserve">Popsal-li zadavatel požadovaný parametr uvedením minimální hodnoty, tj. způsobem </w:t>
            </w:r>
            <w:r w:rsidRPr="002E68EB">
              <w:rPr>
                <w:rFonts w:ascii="Arial" w:hAnsi="Arial" w:cs="Arial"/>
                <w:i/>
                <w:sz w:val="20"/>
              </w:rPr>
              <w:t>„min.“</w:t>
            </w:r>
            <w:r w:rsidRPr="002E68EB">
              <w:rPr>
                <w:rFonts w:ascii="Arial" w:hAnsi="Arial" w:cs="Arial"/>
                <w:sz w:val="20"/>
              </w:rPr>
              <w:t>, dodavatel uvede nabízenou hodnotu parametru, která musí být buď rovna, nebo vyšší než hodnota zadavatelem požadovaného parametru.</w:t>
            </w:r>
          </w:p>
          <w:p w:rsidR="009C304F" w:rsidRPr="002E68EB" w:rsidRDefault="009C304F" w:rsidP="009C304F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Popsal-li zadavatel požadovaný parametr uvedením maximální hodnoty, tj. způsobem </w:t>
            </w:r>
            <w:r w:rsidRPr="00D8752D">
              <w:rPr>
                <w:rFonts w:ascii="Arial" w:hAnsi="Arial" w:cs="Arial"/>
                <w:i/>
                <w:sz w:val="20"/>
              </w:rPr>
              <w:t>„max.“</w:t>
            </w:r>
            <w:r>
              <w:rPr>
                <w:rFonts w:ascii="Arial" w:hAnsi="Arial" w:cs="Arial"/>
                <w:sz w:val="20"/>
              </w:rPr>
              <w:t>, dodavatel uvede nabízenou hodnotu parametru, která musí být buď rovna, nebo nižší než hodnota zadavatelem požadovaného parametru.</w:t>
            </w:r>
          </w:p>
          <w:p w:rsidR="002E68EB" w:rsidRPr="002E68EB" w:rsidRDefault="002E68EB" w:rsidP="009C304F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A3BA9">
              <w:rPr>
                <w:rFonts w:ascii="Arial" w:hAnsi="Arial" w:cs="Arial"/>
                <w:sz w:val="20"/>
              </w:rPr>
              <w:t xml:space="preserve">Popsal-li zadavatel požadovaný parametr </w:t>
            </w:r>
            <w:r>
              <w:rPr>
                <w:rFonts w:ascii="Arial" w:hAnsi="Arial" w:cs="Arial"/>
                <w:sz w:val="20"/>
              </w:rPr>
              <w:t xml:space="preserve">uvedením minimální a maximální hodnoty, tj. </w:t>
            </w:r>
            <w:r w:rsidRPr="008A3BA9">
              <w:rPr>
                <w:rFonts w:ascii="Arial" w:hAnsi="Arial" w:cs="Arial"/>
                <w:sz w:val="20"/>
              </w:rPr>
              <w:t xml:space="preserve">způsobem </w:t>
            </w:r>
            <w:r w:rsidRPr="00D8752D">
              <w:rPr>
                <w:rFonts w:ascii="Arial" w:hAnsi="Arial" w:cs="Arial"/>
                <w:i/>
                <w:sz w:val="20"/>
              </w:rPr>
              <w:t>„min. – max.“</w:t>
            </w:r>
            <w:r w:rsidRPr="008A3BA9">
              <w:rPr>
                <w:rFonts w:ascii="Arial" w:hAnsi="Arial" w:cs="Arial"/>
                <w:sz w:val="20"/>
              </w:rPr>
              <w:t>, dodavatel uvede hodnotu parametru v rámci tohoto rozmezí. Parametr nabízeného zboží je splněn i tehdy, je-li dodavatelem uvedená hodnota shodná s minimální či maximální hodnotou zadavatelem požadovaného parametru.</w:t>
            </w:r>
          </w:p>
          <w:p w:rsidR="002E68EB" w:rsidRPr="002E68EB" w:rsidRDefault="002E68EB" w:rsidP="002E68EB">
            <w:pPr>
              <w:pStyle w:val="Odstavecseseznamem"/>
              <w:numPr>
                <w:ilvl w:val="0"/>
                <w:numId w:val="1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E68EB">
              <w:rPr>
                <w:rFonts w:ascii="Arial" w:hAnsi="Arial" w:cs="Arial"/>
                <w:sz w:val="20"/>
              </w:rPr>
              <w:t xml:space="preserve">Tolerance nabízených hodnot ostatních parametrů, které nejsou specifikovány způsobem dle bodu 1, 2 nebo 3 této tabulky, je +/- 10 % od zadavatelem stanovené hodnoty. </w:t>
            </w:r>
          </w:p>
          <w:p w:rsidR="002E68EB" w:rsidRPr="002E68EB" w:rsidRDefault="002E68EB" w:rsidP="002E68EB">
            <w:pPr>
              <w:spacing w:before="120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C304F" w:rsidRDefault="009C304F"/>
    <w:tbl>
      <w:tblPr>
        <w:tblStyle w:val="tabulkafinann"/>
        <w:tblW w:w="908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850"/>
        <w:gridCol w:w="2176"/>
        <w:gridCol w:w="984"/>
      </w:tblGrid>
      <w:tr w:rsidR="00812B03" w:rsidRPr="0008279C" w:rsidTr="00817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E2F3" w:themeFill="accent5" w:themeFillTint="33"/>
            <w:noWrap/>
            <w:hideMark/>
          </w:tcPr>
          <w:p w:rsidR="00C75DA6" w:rsidRPr="00F07AC1" w:rsidRDefault="00C75DA6" w:rsidP="00446A85">
            <w:pPr>
              <w:spacing w:before="0"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7A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NÁZEV POLOŽKY</w:t>
            </w:r>
          </w:p>
        </w:tc>
        <w:tc>
          <w:tcPr>
            <w:tcW w:w="3402" w:type="dxa"/>
            <w:shd w:val="clear" w:color="auto" w:fill="D9E2F3" w:themeFill="accent5" w:themeFillTint="33"/>
            <w:hideMark/>
          </w:tcPr>
          <w:p w:rsidR="00C75DA6" w:rsidRPr="00F07AC1" w:rsidRDefault="00C75DA6" w:rsidP="00446A8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7A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SPECIFIKACE POLOŽKY</w:t>
            </w:r>
          </w:p>
        </w:tc>
        <w:tc>
          <w:tcPr>
            <w:tcW w:w="850" w:type="dxa"/>
            <w:shd w:val="clear" w:color="auto" w:fill="D9E2F3" w:themeFill="accent5" w:themeFillTint="33"/>
            <w:noWrap/>
            <w:textDirection w:val="btLr"/>
            <w:hideMark/>
          </w:tcPr>
          <w:p w:rsidR="00812B03" w:rsidRPr="00812B03" w:rsidRDefault="00C75DA6" w:rsidP="00812B03">
            <w:pPr>
              <w:spacing w:before="0"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MNOŽSTVÍ</w:t>
            </w:r>
          </w:p>
          <w:p w:rsidR="00C75DA6" w:rsidRPr="0008279C" w:rsidRDefault="00C75DA6" w:rsidP="00812B03">
            <w:pPr>
              <w:spacing w:before="0"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12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C75DA6" w:rsidRPr="00F07AC1" w:rsidRDefault="00B83EF8" w:rsidP="00CE774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7AC1">
              <w:rPr>
                <w:b/>
                <w:bCs/>
                <w:sz w:val="24"/>
                <w:szCs w:val="24"/>
              </w:rPr>
              <w:t>O</w:t>
            </w:r>
            <w:r w:rsidR="00C75DA6" w:rsidRPr="00F07AC1">
              <w:rPr>
                <w:b/>
                <w:bCs/>
                <w:sz w:val="24"/>
                <w:szCs w:val="24"/>
              </w:rPr>
              <w:t xml:space="preserve">bchodní označení </w:t>
            </w:r>
            <w:r w:rsidR="00CE7742" w:rsidRPr="00F07AC1">
              <w:rPr>
                <w:b/>
                <w:bCs/>
                <w:sz w:val="24"/>
                <w:szCs w:val="24"/>
              </w:rPr>
              <w:t>výrobce a typ zboží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C75DA6" w:rsidRPr="00F07AC1" w:rsidRDefault="00DD1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  <w:r w:rsidRPr="00F07AC1">
              <w:rPr>
                <w:rFonts w:cstheme="minorHAnsi"/>
                <w:b/>
                <w:bCs/>
                <w:szCs w:val="18"/>
              </w:rPr>
              <w:t>Dodavatel</w:t>
            </w:r>
          </w:p>
          <w:p w:rsidR="001A760C" w:rsidRPr="00F07AC1" w:rsidRDefault="001A7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  <w:r w:rsidRPr="00F07AC1">
              <w:rPr>
                <w:rFonts w:cstheme="minorHAnsi"/>
                <w:b/>
                <w:bCs/>
                <w:szCs w:val="18"/>
              </w:rPr>
              <w:t>Doplní zda</w:t>
            </w:r>
          </w:p>
          <w:p w:rsidR="00DD1A0B" w:rsidRPr="00F07AC1" w:rsidRDefault="001A7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  <w:r w:rsidRPr="00F07AC1">
              <w:rPr>
                <w:rFonts w:cstheme="minorHAnsi"/>
                <w:b/>
                <w:bCs/>
                <w:szCs w:val="18"/>
              </w:rPr>
              <w:t>s</w:t>
            </w:r>
            <w:r w:rsidR="00DD1A0B" w:rsidRPr="00F07AC1">
              <w:rPr>
                <w:rFonts w:cstheme="minorHAnsi"/>
                <w:b/>
                <w:bCs/>
                <w:szCs w:val="18"/>
              </w:rPr>
              <w:t>plňuje</w:t>
            </w:r>
          </w:p>
          <w:p w:rsidR="00CE7742" w:rsidRPr="00F07AC1" w:rsidRDefault="00CE7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  <w:r w:rsidRPr="00F07AC1">
              <w:rPr>
                <w:rFonts w:cstheme="minorHAnsi"/>
                <w:b/>
                <w:bCs/>
                <w:szCs w:val="18"/>
              </w:rPr>
              <w:t>Ano/ne</w:t>
            </w:r>
          </w:p>
          <w:p w:rsidR="00C75DA6" w:rsidRPr="0008279C" w:rsidRDefault="00C75DA6" w:rsidP="00C75DA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A41561" w:rsidRPr="0008279C" w:rsidTr="00812B0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5"/>
            <w:shd w:val="clear" w:color="auto" w:fill="D9D9D9" w:themeFill="background1" w:themeFillShade="D9"/>
            <w:noWrap/>
          </w:tcPr>
          <w:p w:rsidR="00A41561" w:rsidRPr="00817859" w:rsidRDefault="00F67753" w:rsidP="008902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  <w:r w:rsidRPr="00F67753"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  <w:t>Elektrotechnická zařízení</w:t>
            </w:r>
          </w:p>
        </w:tc>
      </w:tr>
      <w:tr w:rsidR="0008279C" w:rsidRPr="0008279C" w:rsidTr="00812B03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F2F2" w:themeFill="background1" w:themeFillShade="F2"/>
          </w:tcPr>
          <w:p w:rsidR="0008279C" w:rsidRPr="0008279C" w:rsidRDefault="0008279C" w:rsidP="009A6B98">
            <w:pPr>
              <w:spacing w:before="0" w:after="0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412" w:type="dxa"/>
            <w:gridSpan w:val="4"/>
            <w:shd w:val="clear" w:color="auto" w:fill="F2F2F2" w:themeFill="background1" w:themeFillShade="F2"/>
          </w:tcPr>
          <w:p w:rsidR="0008279C" w:rsidRPr="0008279C" w:rsidRDefault="00F67753" w:rsidP="00F6775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F67753">
              <w:rPr>
                <w:rFonts w:asciiTheme="minorHAnsi" w:hAnsiTheme="minorHAnsi" w:cs="Calibri"/>
                <w:color w:val="000000"/>
                <w:sz w:val="20"/>
              </w:rPr>
              <w:t>Elektrotechnick</w:t>
            </w:r>
            <w:r>
              <w:rPr>
                <w:rFonts w:asciiTheme="minorHAnsi" w:hAnsiTheme="minorHAnsi" w:cs="Calibri"/>
                <w:color w:val="000000"/>
                <w:sz w:val="20"/>
              </w:rPr>
              <w:t>é</w:t>
            </w:r>
            <w:r w:rsidRPr="00F67753">
              <w:rPr>
                <w:rFonts w:asciiTheme="minorHAnsi" w:hAnsiTheme="minorHAnsi" w:cs="Calibri"/>
                <w:color w:val="000000"/>
                <w:sz w:val="20"/>
              </w:rPr>
              <w:t xml:space="preserve"> zařízení</w:t>
            </w:r>
            <w:r w:rsidR="0008279C" w:rsidRPr="0008279C">
              <w:rPr>
                <w:rFonts w:asciiTheme="minorHAnsi" w:hAnsiTheme="minorHAnsi" w:cs="Calibri"/>
                <w:color w:val="000000"/>
                <w:sz w:val="20"/>
              </w:rPr>
              <w:t xml:space="preserve"> je poptáván</w:t>
            </w:r>
            <w:r w:rsidR="005E0786">
              <w:rPr>
                <w:rFonts w:asciiTheme="minorHAnsi" w:hAnsiTheme="minorHAnsi" w:cs="Calibri"/>
                <w:color w:val="000000"/>
                <w:sz w:val="20"/>
              </w:rPr>
              <w:t>o</w:t>
            </w:r>
            <w:r w:rsidR="0008279C" w:rsidRPr="0008279C">
              <w:rPr>
                <w:rFonts w:asciiTheme="minorHAnsi" w:hAnsiTheme="minorHAnsi" w:cs="Calibri"/>
                <w:color w:val="000000"/>
                <w:sz w:val="20"/>
              </w:rPr>
              <w:t xml:space="preserve"> včetně dopravy</w:t>
            </w:r>
            <w:r w:rsidR="0022563B">
              <w:rPr>
                <w:rFonts w:asciiTheme="minorHAnsi" w:hAnsiTheme="minorHAnsi" w:cs="Calibri"/>
                <w:color w:val="000000"/>
                <w:sz w:val="20"/>
              </w:rPr>
              <w:t>,</w:t>
            </w:r>
            <w:r w:rsidR="0008279C" w:rsidRPr="0008279C">
              <w:rPr>
                <w:rFonts w:asciiTheme="minorHAnsi" w:hAnsiTheme="minorHAnsi" w:cs="Calibri"/>
                <w:color w:val="000000"/>
                <w:sz w:val="20"/>
              </w:rPr>
              <w:t xml:space="preserve"> montáže (roznesení, us</w:t>
            </w:r>
            <w:r w:rsidR="005E0786">
              <w:rPr>
                <w:rFonts w:asciiTheme="minorHAnsi" w:hAnsiTheme="minorHAnsi" w:cs="Calibri"/>
                <w:color w:val="000000"/>
                <w:sz w:val="20"/>
              </w:rPr>
              <w:t>tavení, montáž a kotvení</w:t>
            </w:r>
            <w:r w:rsidR="00535FB3">
              <w:rPr>
                <w:rFonts w:asciiTheme="minorHAnsi" w:hAnsiTheme="minorHAnsi" w:cs="Calibri"/>
                <w:color w:val="000000"/>
                <w:sz w:val="20"/>
              </w:rPr>
              <w:t xml:space="preserve">, </w:t>
            </w:r>
            <w:r w:rsidR="0064267F">
              <w:rPr>
                <w:rFonts w:asciiTheme="minorHAnsi" w:hAnsiTheme="minorHAnsi" w:cs="Calibri"/>
                <w:color w:val="000000"/>
                <w:sz w:val="20"/>
              </w:rPr>
              <w:t>napojení na rozvody</w:t>
            </w:r>
            <w:r w:rsidR="0022563B">
              <w:rPr>
                <w:rFonts w:asciiTheme="minorHAnsi" w:hAnsiTheme="minorHAnsi" w:cs="Calibri"/>
                <w:color w:val="000000"/>
                <w:sz w:val="20"/>
              </w:rPr>
              <w:t>), zaškolení</w:t>
            </w:r>
            <w:r w:rsidR="0022563B">
              <w:t xml:space="preserve"> </w:t>
            </w:r>
            <w:r w:rsidR="0022563B" w:rsidRPr="0022563B">
              <w:rPr>
                <w:rFonts w:asciiTheme="minorHAnsi" w:hAnsiTheme="minorHAnsi" w:cs="Calibri"/>
                <w:color w:val="000000"/>
                <w:sz w:val="20"/>
              </w:rPr>
              <w:t xml:space="preserve">obsluhy, nastavení funkčnosti systému, </w:t>
            </w:r>
            <w:r w:rsidR="0022563B">
              <w:rPr>
                <w:rFonts w:asciiTheme="minorHAnsi" w:hAnsiTheme="minorHAnsi" w:cs="Calibri"/>
                <w:color w:val="000000"/>
                <w:sz w:val="20"/>
              </w:rPr>
              <w:t>z</w:t>
            </w:r>
            <w:r w:rsidR="0022563B" w:rsidRPr="0022563B">
              <w:rPr>
                <w:rFonts w:asciiTheme="minorHAnsi" w:hAnsiTheme="minorHAnsi" w:cs="Calibri"/>
                <w:color w:val="000000"/>
                <w:sz w:val="20"/>
              </w:rPr>
              <w:t>pracování dokumentace</w:t>
            </w:r>
            <w:r w:rsidR="0064267F">
              <w:rPr>
                <w:rFonts w:asciiTheme="minorHAnsi" w:hAnsiTheme="minorHAnsi" w:cs="Calibri"/>
                <w:color w:val="000000"/>
                <w:sz w:val="20"/>
              </w:rPr>
              <w:t xml:space="preserve">. </w:t>
            </w:r>
            <w:r w:rsidR="0022563B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</w:p>
        </w:tc>
      </w:tr>
      <w:tr w:rsidR="001F4C83" w:rsidRPr="0008279C" w:rsidTr="002B5090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Operační systém pro desktop / stanice (upgrade)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Nejnovější verze desktopového operačního systému plně podporující stávající platformu školy (současná platforma Windows Professional).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Edice x64 (64b), lokalizace CZ.</w:t>
            </w:r>
          </w:p>
          <w:p w:rsidR="001F4C83" w:rsidRPr="0008279C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Licence musí být novým SW, nikoliv překoupená licence.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40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1A760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1F4C83" w:rsidRPr="0008279C" w:rsidTr="00D560F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Operační systém pro server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Nejnovější verze serverového operačního systému plně podporující stávající platformu školy (současná platforma Windows Server).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Licence s podporou min. pro 16 fyzických jader CPU (16 Core).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Licence zahrnuje oprávnění pro min. dvě prostředí operačního systému nebo dva virtuální počítače.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Edice x64 (64b), lokalizace CZ.</w:t>
            </w:r>
          </w:p>
          <w:p w:rsidR="001F4C83" w:rsidRP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Licence musí být novým SW, nikoliv překoupená licence.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2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1A760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1F4C83" w:rsidRPr="0008279C" w:rsidTr="00434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Klientské licence pro přístup ke službám serveru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Nejnovější verze splňující licenční podmínky výše poptávaného serverového operačního systému, plně podporující stávající řešení školy (současný licenční model Windows CAL na zařízení).</w:t>
            </w:r>
          </w:p>
          <w:p w:rsidR="001F4C83" w:rsidRPr="0008279C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Licence musí být novým SW, nikoliv překoupená licence.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60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E08E5">
              <w:rPr>
                <w:rFonts w:ascii="Arial" w:hAnsi="Arial" w:cs="Arial"/>
                <w:color w:val="FF0000"/>
                <w:sz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</w:rPr>
              <w:t>D</w:t>
            </w:r>
            <w:r w:rsidRPr="00EE08E5">
              <w:rPr>
                <w:rFonts w:ascii="Arial" w:hAnsi="Arial" w:cs="Arial"/>
                <w:color w:val="FF0000"/>
                <w:sz w:val="20"/>
              </w:rPr>
              <w:t>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1F4C83" w:rsidRPr="0008279C" w:rsidTr="00AD35E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Klientské licence pro přístup k terminálové službě serveru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Nejnovější verze splňující licenční podmínky výše poptávaného serverového operačního systému, plně podporující stávající řešení školy (současný licenční model Windows Remote Desktop CAL na zařízení).</w:t>
            </w:r>
          </w:p>
          <w:p w:rsidR="001F4C83" w:rsidRPr="0008279C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Licence musí být novým SW, nikoliv překoupená licence.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10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E08E5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1F4C83" w:rsidRPr="0008279C" w:rsidTr="00AD415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Centrální síťový prvek pro ochranu perimetru (oddělení WAN a LAN provozu / UTM Nextgen Firewall)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Minimální propustnost (SPI) 1.600 Mbit/s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Min. počet souběžných připojení/relací: 150.000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Minimální propustnost IDP filtru 590 Mbit/s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Minimální propustnost AV filtru 450 Mbit/s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Obsahový filtr 2.0, Antispam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Filtrace na úrovni aplikací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VPN propustnost min. 400 Mbit/s, podpora: IKEv2, IPSec (až 100x konkurenčních tunelů), SSL (25x/150x default/max. uživatelů), L2TP/IPSec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Porty: min. 4 x LAN/DMZ, 2 x WAN, 1 x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OPT, 2x USB, 1x console (DB9)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Max. spotřeba el. energie: 37 W (AC 230 V)</w:t>
            </w:r>
          </w:p>
          <w:p w:rsidR="001F4C83" w:rsidRPr="0008279C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Rozměry</w:t>
            </w:r>
            <w:r w:rsidR="0092667C">
              <w:rPr>
                <w:rFonts w:asciiTheme="minorHAnsi" w:hAnsiTheme="minorHAnsi" w:cs="Calibri"/>
                <w:color w:val="000000"/>
                <w:sz w:val="20"/>
              </w:rPr>
              <w:t xml:space="preserve"> max.</w:t>
            </w:r>
            <w:r>
              <w:rPr>
                <w:rFonts w:asciiTheme="minorHAnsi" w:hAnsiTheme="minorHAnsi" w:cs="Calibri"/>
                <w:color w:val="000000"/>
                <w:sz w:val="20"/>
              </w:rPr>
              <w:t>: 300 x 188 x 44 (š x h x v, mm)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EE08E5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1F4C83" w:rsidRPr="0008279C" w:rsidTr="00FA0A7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Licence na UTM služby pro centrální prvek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Elektronická licence pro výše uvedený centrální prvek pro ochranu perimetru: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 roky obsahový filtr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 roky IDP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Aktivace začíná dnem uvedení do provozu.</w:t>
            </w:r>
          </w:p>
          <w:p w:rsidR="001F4C83" w:rsidRP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Pravidelná aktualizace signatur.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 set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B83211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1F4C83" w:rsidRPr="0008279C" w:rsidTr="00D17D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Pr="0008279C" w:rsidRDefault="001F4C83" w:rsidP="001F4C83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Centrální síťový prvek pro ochranu perimetru odloučeného pracoviště (oddělení WAN a LAN provozu)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Minimální propustnost (SPI) 350 Mbit/s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Min. počet souběžných připojení/relací: 20.000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Obsahový filtr 2.0, Antispam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Filtrace na úrovni aplikací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VPN propustnost min. 90 Mbit/s, podpora: IKEv2, IPSec (10x konkurenčních tunelů), SSL (5x/15x default/max. uživatelů)L2TP/IPSec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Porty: min. 4 x LAN, 1 x WAN, 1 x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OPT, 1x USB, 1x console (RJ45)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100% kompatibilita s centrálním prvkem školy (viz definice UTM nextgen prvku výše), hlavně ve funkcionalitě IPSec tunelu (trvalý HW šifrovaný tunel)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Max. spotřeba el. energie: 12 W (AC 230 V)</w:t>
            </w:r>
          </w:p>
          <w:p w:rsidR="001F4C83" w:rsidRDefault="001F4C83" w:rsidP="001F4C83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Rozměry</w:t>
            </w:r>
            <w:r w:rsidR="0092667C">
              <w:rPr>
                <w:rFonts w:asciiTheme="minorHAnsi" w:hAnsiTheme="minorHAnsi" w:cs="Calibri"/>
                <w:color w:val="000000"/>
                <w:sz w:val="20"/>
              </w:rPr>
              <w:t xml:space="preserve"> max.</w:t>
            </w:r>
            <w:r>
              <w:rPr>
                <w:rFonts w:asciiTheme="minorHAnsi" w:hAnsiTheme="minorHAnsi" w:cs="Calibri"/>
                <w:color w:val="000000"/>
                <w:sz w:val="20"/>
              </w:rPr>
              <w:t>: 216 x 143 x 33 (š x h x v, mm)</w:t>
            </w:r>
          </w:p>
          <w:p w:rsidR="001F4C83" w:rsidRPr="0008279C" w:rsidRDefault="001F4C83" w:rsidP="001F4C8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1F4C83" w:rsidRPr="0008279C" w:rsidRDefault="001F4C83" w:rsidP="001F4C8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B83211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F4C83" w:rsidRPr="0008279C" w:rsidRDefault="001F4C83" w:rsidP="001F4C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F05A41" w:rsidRPr="0008279C" w:rsidTr="006E24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Pr="0008279C" w:rsidRDefault="00F05A41" w:rsidP="00F05A41">
            <w:pPr>
              <w:spacing w:before="0" w:after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Gigabitový, 48 portový prvek síťové infrastruktury s web managementem a fcí stohování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Přepínací kapacita min. 176 Gbit/s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Min. funkcionality vrstvy 2 (Layer 2):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Spanning Tree Protocol, IGMP (versions 1, 2, and 3) snooping, Loopback Detection, 4094 aktivních VLAN std. 802.1Q,…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Min. funkcionality vrstvy 3 (Layer 3):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IPv4/6 routing, DHCP server/DHCP relay at Layer 3, User Datagram Protocol (UDP) relay,…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Stohování: až 4 zařízení ve stohu (stack)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Bezpečnost min.: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SSL, DHCP snooping, IP Source Guard, Dynamic ARP Inspection, Storm control, DoS prevention, ACLs 2K záznamů,…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Management / správa prvku: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Web user interface, network-level monitoring and management tool, SNMP v1/2/3, Firmware upgrade via Web browser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Max. spotřeba el. energie: 51,8 W (AC 230 V)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Porty: 48x GE + 4x 10GE, RJ45 console port, USB Type-A vpředu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Flash paměť: min. 256 MB, procesor: min. 800 MHz (dvoujádrový) architektura ARM, operační RAM: min. 512 MB, Packet buffer: min. 24 MB</w:t>
            </w:r>
          </w:p>
          <w:p w:rsidR="00F05A41" w:rsidRP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 xml:space="preserve">Rozměry max.: </w:t>
            </w:r>
            <w:r>
              <w:rPr>
                <w:rFonts w:cs="Calibri"/>
                <w:color w:val="000000"/>
                <w:sz w:val="20"/>
              </w:rPr>
              <w:t>440 x 44 x 257 mm (š x v x h)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F05A41" w:rsidRPr="0008279C" w:rsidRDefault="00F05A41" w:rsidP="00F05A4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  <w:hideMark/>
          </w:tcPr>
          <w:p w:rsidR="00F05A41" w:rsidRPr="0008279C" w:rsidRDefault="00F05A41" w:rsidP="00F05A4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B83211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F05A41" w:rsidRPr="0008279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F05A41" w:rsidRPr="0008279C" w:rsidTr="0021688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Pr="0008279C" w:rsidRDefault="00F05A41" w:rsidP="00F05A41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Gigabitový, 24 portový prvek síťové infrastruktury s web managementem a fcí stohování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Přepínací kapacita min. 128 Gbit/s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Min. funkcionality vrstvy 2 (Layer 2):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Spanning Tree Protocol, IGMP (versions 1, 2, and 3) snooping, Loopback Detection, 4094 aktivních VLAN std. 802.1Q,…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Min. funkcionality vrstvy 3 (Layer 3):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IPv4/6 routing, DHCP server/DHCP relay at Layer 3, User Datagram Protocol (UDP) relay,…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Stohování: až 4 zařízení ve stohu (stack)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Bezpečnost min.: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SSL, DHCP snooping, IP Source Guard, Dynamic ARP Inspection, Storm control, DoS prevention, ACLs 2K záznamů,…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Management / správa prvku: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Web user interface, network-level monitoring and management tool, SNMP v1/2/3, Firmware upgrade via Web browser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Max. spotřeba el. energie: 32,5 W (AC 230 V)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Porty: 24x GE + 4x 10GE, RJ45 console port, USB Type-A vpředu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Flash paměť: min. 256 MB, procesor: min. 800 MHz (dvoujádrový) architektura ARM, operační RAM: min. 512 MB, Packet buffer: min. 12 MB</w:t>
            </w:r>
          </w:p>
          <w:p w:rsidR="00F05A41" w:rsidRPr="0008279C" w:rsidRDefault="00F05A41" w:rsidP="00F05A4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 xml:space="preserve">Rozměry max.: </w:t>
            </w:r>
            <w:r>
              <w:rPr>
                <w:rFonts w:cs="Calibri"/>
                <w:color w:val="000000"/>
                <w:sz w:val="20"/>
              </w:rPr>
              <w:t>440 x 44 x 257 mm (š x v x h</w:t>
            </w:r>
            <w:r w:rsidR="00F0725E">
              <w:rPr>
                <w:rFonts w:cs="Calibri"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F05A41" w:rsidRPr="0008279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</w:tcPr>
          <w:p w:rsidR="00F05A41" w:rsidRPr="00B83211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B83211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F05A41" w:rsidRPr="002506D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F05A41" w:rsidRPr="0008279C" w:rsidTr="004F67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Pr="0008279C" w:rsidRDefault="00F05A41" w:rsidP="00F05A41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Kamera pro monitoring a záznam pohybu osob v prostorách serverovny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Čip: 1/2.8" Progressive Scan CMOS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Objektiv: 2.8 mm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WDR: ~ 120 dB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Rozsah/detekce záběru: Horizontální: 90°, Vertikálníl: min. 80°, vzd. min. 10 m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IR přísvit: min. 10 m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Hlavní stream: 50Hz: 25fps (2048 × 1536, 1920 × 1080, 1280 × 720)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 úrovně přístupu: Administrátor, Operátor , Uživatel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Micro SD/SDHC/SDXC slot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Video kodek: H.264 and H.265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Podpora IEEE 802.11b/g/n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Max. spotřeba el. energie: 7 W (PoE 802.3a f , class 3 nebo VDC 12 V +/- 20%)</w:t>
            </w:r>
          </w:p>
          <w:p w:rsidR="00F05A41" w:rsidRPr="0008279C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Rozměry: max. 102,8 mm × 65,2 mm × 32,6 mm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F05A41" w:rsidRPr="0008279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 ks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</w:tcPr>
          <w:p w:rsidR="00F05A41" w:rsidRPr="00B83211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B83211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F05A41" w:rsidRPr="002506D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  <w:tr w:rsidR="00F05A41" w:rsidRPr="0008279C" w:rsidTr="008D69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Pr="0008279C" w:rsidRDefault="00F05A41" w:rsidP="00F05A41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Univerzální GSM komunikátor a ovladač vč.. Zálohovacího modulu + termostat (čidlo teploty)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Ovládání relé: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SMS zprávami, Prozvoněním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Hlášení stavu vstupu: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Odesláním SMS zprávy při aktivaci / deaktivaci vstupu, Sledování stavu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Nízkonapěťové svorky 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+12 V, GND, min. 4x vstupy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Silové svorky: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2x Spínací kontakt silového relé s parametry 230 V / 2,5 A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Signálky: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signalizuje odchozí aktivitu GSM+ signalizace RESETU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Oba výstupy jsou při použití záložního zdroje v případě výpadku napájení zálohovány. Výstupy mohou být nezávisle na sobě sepnuty na nastavený čas v rozsahu 1 s až 10 hodin (impuls). Kontakty relé jsou galvanicky oddělené od zařízení a splňují požadavky na bezpečnostní izolaci 4 kV.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Záložní zdroj dokáže zařízení napájet 12 až 24 hodin. Doba zálohování závisí do značné míry na síle GSM signálu (čím je signál silnější, tím je spotřeba zařízení nižší).</w:t>
            </w:r>
          </w:p>
          <w:p w:rsidR="00F05A41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Při výpadku napájení delším než 30 minut je zasílána SMS zpráva. 5 minut po obnově napájení se zasílá SMS zpráva na servisní čísla.</w:t>
            </w:r>
          </w:p>
          <w:p w:rsidR="00F05A41" w:rsidRPr="0008279C" w:rsidRDefault="00F05A41" w:rsidP="00F05A41">
            <w:pPr>
              <w:spacing w:before="1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Termostat příložný, drátový.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F05A41" w:rsidRPr="0008279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 set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noWrap/>
          </w:tcPr>
          <w:p w:rsidR="00F05A41" w:rsidRPr="00B83211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B83211">
              <w:rPr>
                <w:rFonts w:ascii="Arial" w:hAnsi="Arial" w:cs="Arial"/>
                <w:color w:val="FF0000"/>
                <w:sz w:val="20"/>
              </w:rPr>
              <w:t>DOPLNÍ DODAVATEL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F05A41" w:rsidRPr="002506DC" w:rsidRDefault="00F05A41" w:rsidP="00F05A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</w:rPr>
            </w:pPr>
            <w:r w:rsidRPr="002506DC">
              <w:rPr>
                <w:rFonts w:cs="Calibri"/>
                <w:color w:val="FF0000"/>
                <w:sz w:val="20"/>
              </w:rPr>
              <w:t>Ano/ne</w:t>
            </w:r>
          </w:p>
        </w:tc>
      </w:tr>
    </w:tbl>
    <w:p w:rsidR="00B53562" w:rsidRDefault="00B53562" w:rsidP="009C4C3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05A41" w:rsidRDefault="00F05A41" w:rsidP="00DD1372">
      <w:pPr>
        <w:ind w:firstLine="708"/>
        <w:rPr>
          <w:rFonts w:ascii="Arial" w:hAnsi="Arial" w:cs="Arial"/>
          <w:color w:val="FF0000"/>
          <w:sz w:val="20"/>
        </w:rPr>
      </w:pPr>
    </w:p>
    <w:p w:rsidR="00DD1372" w:rsidRDefault="00DD1372" w:rsidP="00DD1372">
      <w:pPr>
        <w:ind w:firstLine="708"/>
        <w:rPr>
          <w:rFonts w:ascii="Arial" w:hAnsi="Arial" w:cs="Arial"/>
          <w:color w:val="FF0000"/>
          <w:sz w:val="20"/>
        </w:rPr>
      </w:pPr>
      <w:r w:rsidRPr="00DF5A49">
        <w:rPr>
          <w:rFonts w:ascii="Arial" w:hAnsi="Arial" w:cs="Arial"/>
          <w:color w:val="FF0000"/>
          <w:sz w:val="20"/>
        </w:rPr>
        <w:t>DOPLNÍ</w:t>
      </w:r>
      <w:r w:rsidR="00F05A41">
        <w:rPr>
          <w:rFonts w:ascii="Arial" w:hAnsi="Arial" w:cs="Arial"/>
          <w:color w:val="FF0000"/>
          <w:sz w:val="20"/>
        </w:rPr>
        <w:t xml:space="preserve"> </w:t>
      </w:r>
      <w:r w:rsidRPr="00DF5A49">
        <w:rPr>
          <w:rFonts w:ascii="Arial" w:hAnsi="Arial" w:cs="Arial"/>
          <w:color w:val="FF0000"/>
          <w:sz w:val="20"/>
        </w:rPr>
        <w:t>DODAVATEL</w:t>
      </w:r>
      <w:r w:rsidRPr="00DF5A49">
        <w:rPr>
          <w:rFonts w:ascii="Arial" w:hAnsi="Arial" w:cs="Arial"/>
          <w:color w:val="FF0000"/>
          <w:sz w:val="20"/>
        </w:rPr>
        <w:tab/>
      </w:r>
      <w:r w:rsidRPr="00DF5A49">
        <w:rPr>
          <w:rFonts w:ascii="Arial" w:hAnsi="Arial" w:cs="Arial"/>
          <w:color w:val="FF0000"/>
          <w:sz w:val="20"/>
        </w:rPr>
        <w:tab/>
      </w:r>
      <w:r w:rsidRPr="00DF5A49"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  <w:t xml:space="preserve">      </w:t>
      </w:r>
      <w:r w:rsidRPr="00DF5A49">
        <w:rPr>
          <w:rFonts w:ascii="Arial" w:hAnsi="Arial" w:cs="Arial"/>
          <w:color w:val="FF0000"/>
          <w:sz w:val="20"/>
        </w:rPr>
        <w:t>DOPLNÍ DODAVATEL</w:t>
      </w:r>
    </w:p>
    <w:p w:rsidR="004143E2" w:rsidRPr="00DF5A49" w:rsidRDefault="004143E2" w:rsidP="00DD1372">
      <w:pPr>
        <w:ind w:firstLine="708"/>
        <w:rPr>
          <w:color w:val="FF0000"/>
        </w:rPr>
      </w:pPr>
    </w:p>
    <w:p w:rsidR="00B53562" w:rsidRDefault="00B53562" w:rsidP="009C4C3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53562" w:rsidRPr="00DF5A49" w:rsidRDefault="00B53562" w:rsidP="00B53562">
      <w:pPr>
        <w:rPr>
          <w:rFonts w:ascii="Arial" w:hAnsi="Arial" w:cs="Arial"/>
          <w:sz w:val="20"/>
        </w:rPr>
      </w:pPr>
      <w:r w:rsidRPr="00DF5A49">
        <w:rPr>
          <w:rFonts w:ascii="Arial" w:hAnsi="Arial" w:cs="Arial"/>
          <w:sz w:val="20"/>
        </w:rPr>
        <w:t>V……………………..</w:t>
      </w:r>
      <w:r w:rsidR="00DD1372">
        <w:rPr>
          <w:rFonts w:ascii="Arial" w:hAnsi="Arial" w:cs="Arial"/>
          <w:sz w:val="20"/>
        </w:rPr>
        <w:t xml:space="preserve"> </w:t>
      </w:r>
      <w:r w:rsidRPr="00DF5A49">
        <w:rPr>
          <w:rFonts w:ascii="Arial" w:hAnsi="Arial" w:cs="Arial"/>
          <w:sz w:val="20"/>
        </w:rPr>
        <w:t>dne……………….</w:t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B53562" w:rsidRPr="00DF5A49" w:rsidRDefault="00B53562" w:rsidP="00B53562">
      <w:pPr>
        <w:ind w:left="4956"/>
        <w:rPr>
          <w:rFonts w:ascii="Arial" w:hAnsi="Arial" w:cs="Arial"/>
          <w:sz w:val="20"/>
        </w:rPr>
      </w:pPr>
      <w:r w:rsidRPr="00DF5A49">
        <w:rPr>
          <w:rFonts w:ascii="Arial" w:hAnsi="Arial" w:cs="Arial"/>
          <w:sz w:val="20"/>
        </w:rPr>
        <w:t>podpis osoby oprávněné jednat za dodavatele</w:t>
      </w:r>
    </w:p>
    <w:p w:rsidR="004469AE" w:rsidRPr="00DD1372" w:rsidRDefault="00B53562" w:rsidP="00DD1372">
      <w:pPr>
        <w:rPr>
          <w:rFonts w:ascii="Arial" w:hAnsi="Arial" w:cs="Arial"/>
          <w:sz w:val="20"/>
        </w:rPr>
      </w:pPr>
      <w:r w:rsidRPr="00DF5A49">
        <w:rPr>
          <w:rFonts w:ascii="Arial" w:hAnsi="Arial" w:cs="Arial"/>
          <w:sz w:val="20"/>
        </w:rPr>
        <w:t xml:space="preserve">          </w:t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</w:r>
      <w:r w:rsidRPr="00DF5A49">
        <w:rPr>
          <w:rFonts w:ascii="Arial" w:hAnsi="Arial" w:cs="Arial"/>
          <w:sz w:val="20"/>
        </w:rPr>
        <w:tab/>
        <w:t>(</w:t>
      </w:r>
      <w:r w:rsidR="00DD1372">
        <w:rPr>
          <w:rFonts w:ascii="Arial" w:hAnsi="Arial" w:cs="Arial"/>
          <w:sz w:val="20"/>
        </w:rPr>
        <w:t>titul, jméno a příjmení, funkce</w:t>
      </w:r>
      <w:r w:rsidR="00CA42E6">
        <w:rPr>
          <w:rFonts w:ascii="Arial" w:hAnsi="Arial" w:cs="Arial"/>
          <w:sz w:val="20"/>
        </w:rPr>
        <w:t>)</w:t>
      </w:r>
    </w:p>
    <w:sectPr w:rsidR="004469AE" w:rsidRPr="00DD1372" w:rsidSect="0094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B5" w:rsidRDefault="006A00B5" w:rsidP="00491B21">
      <w:pPr>
        <w:spacing w:after="0" w:line="240" w:lineRule="auto"/>
      </w:pPr>
      <w:r>
        <w:separator/>
      </w:r>
    </w:p>
  </w:endnote>
  <w:endnote w:type="continuationSeparator" w:id="0">
    <w:p w:rsidR="006A00B5" w:rsidRDefault="006A00B5" w:rsidP="0049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94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7753" w:rsidRDefault="00F67753">
            <w:pPr>
              <w:pStyle w:val="Zpat"/>
              <w:jc w:val="center"/>
            </w:pPr>
            <w:r>
              <w:t xml:space="preserve">Stránka </w:t>
            </w:r>
            <w:r w:rsidR="00945A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5A88">
              <w:rPr>
                <w:b/>
                <w:bCs/>
                <w:sz w:val="24"/>
                <w:szCs w:val="24"/>
              </w:rPr>
              <w:fldChar w:fldCharType="separate"/>
            </w:r>
            <w:r w:rsidR="006A00B5">
              <w:rPr>
                <w:b/>
                <w:bCs/>
                <w:noProof/>
              </w:rPr>
              <w:t>1</w:t>
            </w:r>
            <w:r w:rsidR="00945A8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5A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5A88">
              <w:rPr>
                <w:b/>
                <w:bCs/>
                <w:sz w:val="24"/>
                <w:szCs w:val="24"/>
              </w:rPr>
              <w:fldChar w:fldCharType="separate"/>
            </w:r>
            <w:r w:rsidR="006A00B5">
              <w:rPr>
                <w:b/>
                <w:bCs/>
                <w:noProof/>
              </w:rPr>
              <w:t>1</w:t>
            </w:r>
            <w:r w:rsidR="00945A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753" w:rsidRDefault="00F67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B5" w:rsidRDefault="006A00B5" w:rsidP="00491B21">
      <w:pPr>
        <w:spacing w:after="0" w:line="240" w:lineRule="auto"/>
      </w:pPr>
      <w:r>
        <w:separator/>
      </w:r>
    </w:p>
  </w:footnote>
  <w:footnote w:type="continuationSeparator" w:id="0">
    <w:p w:rsidR="006A00B5" w:rsidRDefault="006A00B5" w:rsidP="0049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065F"/>
    <w:multiLevelType w:val="hybridMultilevel"/>
    <w:tmpl w:val="E5D24C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3AB2"/>
    <w:multiLevelType w:val="hybridMultilevel"/>
    <w:tmpl w:val="FC1C5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E4"/>
    <w:rsid w:val="00024452"/>
    <w:rsid w:val="00032217"/>
    <w:rsid w:val="00044554"/>
    <w:rsid w:val="00066F61"/>
    <w:rsid w:val="0008279C"/>
    <w:rsid w:val="00097181"/>
    <w:rsid w:val="00097AD2"/>
    <w:rsid w:val="000A474F"/>
    <w:rsid w:val="000B4B9E"/>
    <w:rsid w:val="000C3E90"/>
    <w:rsid w:val="000C6CAA"/>
    <w:rsid w:val="000E008A"/>
    <w:rsid w:val="00100AF5"/>
    <w:rsid w:val="00111141"/>
    <w:rsid w:val="001151F6"/>
    <w:rsid w:val="00124447"/>
    <w:rsid w:val="00133429"/>
    <w:rsid w:val="001359D0"/>
    <w:rsid w:val="0018733A"/>
    <w:rsid w:val="001914CF"/>
    <w:rsid w:val="00192350"/>
    <w:rsid w:val="001A760C"/>
    <w:rsid w:val="001C5A02"/>
    <w:rsid w:val="001E462B"/>
    <w:rsid w:val="001E5C89"/>
    <w:rsid w:val="001F4C83"/>
    <w:rsid w:val="00202AFB"/>
    <w:rsid w:val="00202DB0"/>
    <w:rsid w:val="00204A74"/>
    <w:rsid w:val="002136BB"/>
    <w:rsid w:val="00216806"/>
    <w:rsid w:val="0022563B"/>
    <w:rsid w:val="00235064"/>
    <w:rsid w:val="00242A5F"/>
    <w:rsid w:val="002635D8"/>
    <w:rsid w:val="002833B7"/>
    <w:rsid w:val="002A2843"/>
    <w:rsid w:val="002B0E4D"/>
    <w:rsid w:val="002C692B"/>
    <w:rsid w:val="002E68EB"/>
    <w:rsid w:val="003619CA"/>
    <w:rsid w:val="00390345"/>
    <w:rsid w:val="003922F9"/>
    <w:rsid w:val="00404318"/>
    <w:rsid w:val="004143E2"/>
    <w:rsid w:val="00420390"/>
    <w:rsid w:val="00422634"/>
    <w:rsid w:val="004247B6"/>
    <w:rsid w:val="004469AE"/>
    <w:rsid w:val="00446A85"/>
    <w:rsid w:val="0044737B"/>
    <w:rsid w:val="0045392D"/>
    <w:rsid w:val="00474F65"/>
    <w:rsid w:val="00491B21"/>
    <w:rsid w:val="004B55CB"/>
    <w:rsid w:val="004D4A04"/>
    <w:rsid w:val="004F7DE1"/>
    <w:rsid w:val="005174A0"/>
    <w:rsid w:val="00530D0B"/>
    <w:rsid w:val="0053201C"/>
    <w:rsid w:val="00535FB3"/>
    <w:rsid w:val="005472DE"/>
    <w:rsid w:val="00566E50"/>
    <w:rsid w:val="00571DA4"/>
    <w:rsid w:val="0059656B"/>
    <w:rsid w:val="00597B28"/>
    <w:rsid w:val="005E0786"/>
    <w:rsid w:val="005E173A"/>
    <w:rsid w:val="005E1844"/>
    <w:rsid w:val="005E34D4"/>
    <w:rsid w:val="0064267F"/>
    <w:rsid w:val="0065313E"/>
    <w:rsid w:val="006A00B5"/>
    <w:rsid w:val="006A5133"/>
    <w:rsid w:val="006B63CD"/>
    <w:rsid w:val="006C2898"/>
    <w:rsid w:val="006D3527"/>
    <w:rsid w:val="006E4CAE"/>
    <w:rsid w:val="006E5D92"/>
    <w:rsid w:val="006E7682"/>
    <w:rsid w:val="00700690"/>
    <w:rsid w:val="00715704"/>
    <w:rsid w:val="00740051"/>
    <w:rsid w:val="007720BF"/>
    <w:rsid w:val="0078169E"/>
    <w:rsid w:val="007A1D61"/>
    <w:rsid w:val="00804B93"/>
    <w:rsid w:val="00812B03"/>
    <w:rsid w:val="00817859"/>
    <w:rsid w:val="008347CE"/>
    <w:rsid w:val="0084199F"/>
    <w:rsid w:val="00842923"/>
    <w:rsid w:val="00857857"/>
    <w:rsid w:val="008615B5"/>
    <w:rsid w:val="00870669"/>
    <w:rsid w:val="0089029D"/>
    <w:rsid w:val="008B22FE"/>
    <w:rsid w:val="008C186A"/>
    <w:rsid w:val="008C37C8"/>
    <w:rsid w:val="008C76C8"/>
    <w:rsid w:val="008F1FFD"/>
    <w:rsid w:val="00910C3C"/>
    <w:rsid w:val="00913CA9"/>
    <w:rsid w:val="00915012"/>
    <w:rsid w:val="0092667C"/>
    <w:rsid w:val="00945A88"/>
    <w:rsid w:val="00950C37"/>
    <w:rsid w:val="009A6B98"/>
    <w:rsid w:val="009C304F"/>
    <w:rsid w:val="009C4C30"/>
    <w:rsid w:val="009C5928"/>
    <w:rsid w:val="009D2953"/>
    <w:rsid w:val="00A01746"/>
    <w:rsid w:val="00A23F70"/>
    <w:rsid w:val="00A41561"/>
    <w:rsid w:val="00A92C5B"/>
    <w:rsid w:val="00AB0A66"/>
    <w:rsid w:val="00AE2AE5"/>
    <w:rsid w:val="00AF393F"/>
    <w:rsid w:val="00AF7BAC"/>
    <w:rsid w:val="00B115D8"/>
    <w:rsid w:val="00B33392"/>
    <w:rsid w:val="00B364F2"/>
    <w:rsid w:val="00B53562"/>
    <w:rsid w:val="00B56176"/>
    <w:rsid w:val="00B83EF8"/>
    <w:rsid w:val="00B86803"/>
    <w:rsid w:val="00BD0072"/>
    <w:rsid w:val="00BD4E6C"/>
    <w:rsid w:val="00C71621"/>
    <w:rsid w:val="00C75DA6"/>
    <w:rsid w:val="00CA42E6"/>
    <w:rsid w:val="00CD25D4"/>
    <w:rsid w:val="00CE7742"/>
    <w:rsid w:val="00D342FF"/>
    <w:rsid w:val="00D51FBF"/>
    <w:rsid w:val="00D55FE5"/>
    <w:rsid w:val="00D72237"/>
    <w:rsid w:val="00D846A9"/>
    <w:rsid w:val="00D8737D"/>
    <w:rsid w:val="00D87F06"/>
    <w:rsid w:val="00DA0388"/>
    <w:rsid w:val="00DB4A81"/>
    <w:rsid w:val="00DD1372"/>
    <w:rsid w:val="00DD1A0B"/>
    <w:rsid w:val="00DE4C5B"/>
    <w:rsid w:val="00DE62E4"/>
    <w:rsid w:val="00DF1779"/>
    <w:rsid w:val="00DF255C"/>
    <w:rsid w:val="00DF4ECF"/>
    <w:rsid w:val="00E07E69"/>
    <w:rsid w:val="00E10DBA"/>
    <w:rsid w:val="00E218F5"/>
    <w:rsid w:val="00E22FEA"/>
    <w:rsid w:val="00E35251"/>
    <w:rsid w:val="00E734A5"/>
    <w:rsid w:val="00EB055B"/>
    <w:rsid w:val="00EB7587"/>
    <w:rsid w:val="00ED4043"/>
    <w:rsid w:val="00EF37D1"/>
    <w:rsid w:val="00F05A41"/>
    <w:rsid w:val="00F0725E"/>
    <w:rsid w:val="00F07AC1"/>
    <w:rsid w:val="00F1277E"/>
    <w:rsid w:val="00F340F3"/>
    <w:rsid w:val="00F5274A"/>
    <w:rsid w:val="00F66F6D"/>
    <w:rsid w:val="00F67753"/>
    <w:rsid w:val="00F95DA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BCEA8-634B-4A2F-B76C-650E0B81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finann">
    <w:name w:val="tabulka finanční"/>
    <w:basedOn w:val="Normlntabulka"/>
    <w:uiPriority w:val="99"/>
    <w:rsid w:val="00A41561"/>
    <w:pPr>
      <w:spacing w:before="60" w:after="60" w:line="240" w:lineRule="auto"/>
    </w:pPr>
    <w:rPr>
      <w:rFonts w:ascii="Calibri" w:eastAsia="Calibri" w:hAnsi="Calibri" w:cs="Times New Roman"/>
      <w:sz w:val="18"/>
      <w:szCs w:val="20"/>
      <w:lang w:eastAsia="cs-CZ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paragraph" w:styleId="Zhlav">
    <w:name w:val="header"/>
    <w:basedOn w:val="Normln"/>
    <w:link w:val="ZhlavChar"/>
    <w:uiPriority w:val="99"/>
    <w:unhideWhenUsed/>
    <w:rsid w:val="0049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B21"/>
  </w:style>
  <w:style w:type="paragraph" w:styleId="Zpat">
    <w:name w:val="footer"/>
    <w:basedOn w:val="Normln"/>
    <w:link w:val="ZpatChar"/>
    <w:uiPriority w:val="99"/>
    <w:unhideWhenUsed/>
    <w:rsid w:val="0049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B21"/>
  </w:style>
  <w:style w:type="paragraph" w:styleId="Odstavecseseznamem">
    <w:name w:val="List Paragraph"/>
    <w:basedOn w:val="Normln"/>
    <w:uiPriority w:val="34"/>
    <w:qFormat/>
    <w:rsid w:val="009C304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C30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304F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4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4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56B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A7EF-8CF5-433D-913A-6AA4B05C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Eduard Korunka</cp:lastModifiedBy>
  <cp:revision>2</cp:revision>
  <dcterms:created xsi:type="dcterms:W3CDTF">2019-08-05T10:05:00Z</dcterms:created>
  <dcterms:modified xsi:type="dcterms:W3CDTF">2019-08-05T10:05:00Z</dcterms:modified>
</cp:coreProperties>
</file>