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7B" w:rsidRPr="00604BE6" w:rsidRDefault="00180307" w:rsidP="00604BE6">
      <w:pPr>
        <w:pStyle w:val="Nadpis1"/>
      </w:pPr>
      <w:r w:rsidRPr="00604BE6">
        <w:t>Položková specifikace vozidla</w:t>
      </w:r>
      <w:r w:rsidR="003B686D" w:rsidRPr="00604BE6">
        <w:t xml:space="preserve"> </w:t>
      </w:r>
      <w:r w:rsidR="004F7929" w:rsidRPr="00604BE6">
        <w:t xml:space="preserve">(podvozku v 1. stupni výroby) </w:t>
      </w:r>
      <w:r w:rsidR="004A0E62" w:rsidRPr="00604BE6">
        <w:t>a zá</w:t>
      </w:r>
      <w:r w:rsidR="003B686D" w:rsidRPr="00604BE6">
        <w:t xml:space="preserve">stavby </w:t>
      </w:r>
      <w:r w:rsidR="009A2521" w:rsidRPr="00604BE6">
        <w:t xml:space="preserve">technického </w:t>
      </w:r>
      <w:r w:rsidR="003B686D" w:rsidRPr="00604BE6">
        <w:t xml:space="preserve">vozidla </w:t>
      </w:r>
      <w:r w:rsidR="009A2521" w:rsidRPr="00604BE6">
        <w:t>pro přepravu osob, materiálu a zařízení.</w:t>
      </w:r>
    </w:p>
    <w:p w:rsidR="0056477B" w:rsidRPr="00BA038A" w:rsidRDefault="0056477B" w:rsidP="00604BE6">
      <w:pPr>
        <w:pStyle w:val="Nadpis2"/>
      </w:pPr>
      <w:r w:rsidRPr="00BA038A">
        <w:t>Specifikace vozidla</w:t>
      </w:r>
      <w:r w:rsidR="00BA038A" w:rsidRPr="00BA038A">
        <w:t xml:space="preserve"> (podvozku)</w:t>
      </w:r>
      <w:r w:rsidR="000D3DE5">
        <w:t xml:space="preserve"> v prvním stupni výroby</w:t>
      </w:r>
    </w:p>
    <w:p w:rsidR="0056477B" w:rsidRPr="00604BE6" w:rsidRDefault="00B971D2" w:rsidP="004F7929">
      <w:pPr>
        <w:jc w:val="both"/>
        <w:rPr>
          <w:rFonts w:cs="Arial"/>
          <w:b/>
        </w:rPr>
      </w:pPr>
      <w:r w:rsidRPr="00604BE6">
        <w:rPr>
          <w:rFonts w:cs="Arial"/>
          <w:b/>
        </w:rPr>
        <w:t xml:space="preserve">Veškeré </w:t>
      </w:r>
      <w:r w:rsidR="00BA038A" w:rsidRPr="00604BE6">
        <w:rPr>
          <w:rFonts w:cs="Arial"/>
          <w:b/>
        </w:rPr>
        <w:t>technické</w:t>
      </w:r>
      <w:r w:rsidRPr="00604BE6">
        <w:rPr>
          <w:rFonts w:cs="Arial"/>
          <w:b/>
        </w:rPr>
        <w:t xml:space="preserve"> parametry </w:t>
      </w:r>
      <w:r w:rsidR="00857757" w:rsidRPr="00604BE6">
        <w:rPr>
          <w:rFonts w:cs="Arial"/>
          <w:b/>
        </w:rPr>
        <w:t xml:space="preserve">dodaného </w:t>
      </w:r>
      <w:r w:rsidRPr="00604BE6">
        <w:rPr>
          <w:rFonts w:cs="Arial"/>
          <w:b/>
        </w:rPr>
        <w:t>podvozku (vozidla) musí být</w:t>
      </w:r>
      <w:r w:rsidR="00857757" w:rsidRPr="00604BE6">
        <w:rPr>
          <w:rFonts w:cs="Arial"/>
          <w:b/>
        </w:rPr>
        <w:t xml:space="preserve"> původní</w:t>
      </w:r>
      <w:r w:rsidR="00BA038A" w:rsidRPr="00604BE6">
        <w:rPr>
          <w:rFonts w:cs="Arial"/>
          <w:b/>
        </w:rPr>
        <w:t xml:space="preserve">, </w:t>
      </w:r>
      <w:r w:rsidR="00857757" w:rsidRPr="00604BE6">
        <w:rPr>
          <w:rFonts w:cs="Arial"/>
          <w:b/>
        </w:rPr>
        <w:t>stanovené</w:t>
      </w:r>
      <w:r w:rsidR="00BA038A" w:rsidRPr="00604BE6">
        <w:rPr>
          <w:rFonts w:cs="Arial"/>
          <w:b/>
        </w:rPr>
        <w:t xml:space="preserve"> a dodané</w:t>
      </w:r>
      <w:r w:rsidR="00857757" w:rsidRPr="00604BE6">
        <w:rPr>
          <w:rFonts w:cs="Arial"/>
          <w:b/>
        </w:rPr>
        <w:t xml:space="preserve"> výrobcem vozidla</w:t>
      </w:r>
      <w:r w:rsidR="005C4431" w:rsidRPr="00604BE6">
        <w:rPr>
          <w:rFonts w:cs="Arial"/>
          <w:b/>
        </w:rPr>
        <w:t xml:space="preserve"> v prvním stupni výroby</w:t>
      </w:r>
      <w:r w:rsidR="00857757" w:rsidRPr="00604BE6">
        <w:rPr>
          <w:rFonts w:cs="Arial"/>
          <w:b/>
        </w:rPr>
        <w:t>. Zadavatel ne</w:t>
      </w:r>
      <w:r w:rsidR="00BA038A" w:rsidRPr="00604BE6">
        <w:rPr>
          <w:rFonts w:cs="Arial"/>
          <w:b/>
        </w:rPr>
        <w:t xml:space="preserve">připouští dosažení technických </w:t>
      </w:r>
      <w:r w:rsidR="00857757" w:rsidRPr="00604BE6">
        <w:rPr>
          <w:rFonts w:cs="Arial"/>
          <w:b/>
        </w:rPr>
        <w:t>parame</w:t>
      </w:r>
      <w:r w:rsidR="00294CF4" w:rsidRPr="00604BE6">
        <w:rPr>
          <w:rFonts w:cs="Arial"/>
          <w:b/>
        </w:rPr>
        <w:t>trů vozidla (např. výkon, krouticí</w:t>
      </w:r>
      <w:r w:rsidR="00857757" w:rsidRPr="00604BE6">
        <w:rPr>
          <w:rFonts w:cs="Arial"/>
          <w:b/>
        </w:rPr>
        <w:t xml:space="preserve"> moment, </w:t>
      </w:r>
      <w:r w:rsidR="00116D11" w:rsidRPr="00604BE6">
        <w:rPr>
          <w:rFonts w:cs="Arial"/>
          <w:b/>
        </w:rPr>
        <w:t>exhalační hodnoty</w:t>
      </w:r>
      <w:r w:rsidR="00BA038A" w:rsidRPr="00604BE6">
        <w:rPr>
          <w:rFonts w:cs="Arial"/>
          <w:b/>
        </w:rPr>
        <w:t xml:space="preserve">) </w:t>
      </w:r>
      <w:r w:rsidR="00857757" w:rsidRPr="00604BE6">
        <w:rPr>
          <w:rFonts w:cs="Arial"/>
          <w:b/>
        </w:rPr>
        <w:t>dodatečnou úpravou</w:t>
      </w:r>
      <w:r w:rsidRPr="00604BE6">
        <w:rPr>
          <w:rFonts w:cs="Arial"/>
          <w:b/>
        </w:rPr>
        <w:t xml:space="preserve"> </w:t>
      </w:r>
      <w:r w:rsidR="00BA038A" w:rsidRPr="00604BE6">
        <w:rPr>
          <w:rFonts w:cs="Arial"/>
          <w:b/>
        </w:rPr>
        <w:t>původního vozidla</w:t>
      </w:r>
      <w:r w:rsidR="00070FE2" w:rsidRPr="00604BE6">
        <w:rPr>
          <w:rFonts w:cs="Arial"/>
          <w:b/>
        </w:rPr>
        <w:t xml:space="preserve"> v 1. stupni výroby</w:t>
      </w:r>
      <w:r w:rsidR="00BA038A" w:rsidRPr="00604BE6">
        <w:rPr>
          <w:rFonts w:cs="Arial"/>
          <w:b/>
        </w:rPr>
        <w:t>.</w:t>
      </w:r>
    </w:p>
    <w:p w:rsidR="00604BE6" w:rsidRPr="003C27D8" w:rsidRDefault="00604BE6" w:rsidP="00604BE6">
      <w:pPr>
        <w:widowControl w:val="0"/>
        <w:suppressAutoHyphens/>
        <w:spacing w:after="120" w:line="240" w:lineRule="auto"/>
        <w:ind w:right="-2"/>
        <w:rPr>
          <w:rFonts w:eastAsia="Times New Roman" w:cs="Times New Roman"/>
          <w:bCs/>
          <w:sz w:val="21"/>
          <w:szCs w:val="21"/>
          <w:lang w:eastAsia="cs-CZ" w:bidi="hi-IN"/>
        </w:rPr>
      </w:pPr>
      <w:r w:rsidRPr="003C27D8">
        <w:rPr>
          <w:rFonts w:eastAsia="Times New Roman" w:cs="Times New Roman"/>
          <w:sz w:val="21"/>
          <w:szCs w:val="21"/>
          <w:lang w:eastAsia="hi-IN" w:bidi="hi-IN"/>
        </w:rPr>
        <w:t>Dodavatel</w:t>
      </w:r>
      <w:r w:rsidRPr="003C27D8">
        <w:rPr>
          <w:rFonts w:eastAsia="Times New Roman" w:cs="Times New Roman"/>
          <w:sz w:val="21"/>
          <w:szCs w:val="21"/>
          <w:u w:val="single"/>
          <w:lang w:eastAsia="hi-IN" w:bidi="hi-IN"/>
        </w:rPr>
        <w:t xml:space="preserve"> je povinen v tabulce vyplnit požadované údaje označené červeným textem „</w:t>
      </w:r>
      <w:r w:rsidRPr="003C27D8">
        <w:rPr>
          <w:rFonts w:eastAsia="Times New Roman" w:cs="Times New Roman"/>
          <w:color w:val="C00000"/>
          <w:sz w:val="21"/>
          <w:szCs w:val="21"/>
          <w:u w:val="single"/>
          <w:lang w:eastAsia="hi-IN" w:bidi="hi-IN"/>
        </w:rPr>
        <w:t>Doplní dodavatel</w:t>
      </w:r>
      <w:r w:rsidRPr="003C27D8">
        <w:rPr>
          <w:rFonts w:eastAsia="Times New Roman" w:cs="Times New Roman"/>
          <w:sz w:val="21"/>
          <w:szCs w:val="21"/>
          <w:u w:val="single"/>
          <w:lang w:eastAsia="hi-IN" w:bidi="hi-IN"/>
        </w:rPr>
        <w:t>“</w:t>
      </w:r>
      <w:r w:rsidRPr="003C27D8">
        <w:rPr>
          <w:rFonts w:eastAsia="Times New Roman" w:cs="Times New Roman"/>
          <w:sz w:val="21"/>
          <w:szCs w:val="21"/>
          <w:lang w:eastAsia="hi-IN" w:bidi="hi-IN"/>
        </w:rPr>
        <w:t>, resp. doplní u každé položky, kterou splňuje slovo „</w:t>
      </w:r>
      <w:r w:rsidRPr="003C27D8">
        <w:rPr>
          <w:rFonts w:eastAsia="Times New Roman" w:cs="Times New Roman"/>
          <w:sz w:val="21"/>
          <w:szCs w:val="21"/>
          <w:u w:val="single"/>
          <w:lang w:eastAsia="hi-IN" w:bidi="hi-IN"/>
        </w:rPr>
        <w:t>ANO</w:t>
      </w:r>
      <w:r w:rsidRPr="003C27D8">
        <w:rPr>
          <w:rFonts w:eastAsia="Times New Roman" w:cs="Times New Roman"/>
          <w:sz w:val="21"/>
          <w:szCs w:val="21"/>
          <w:lang w:eastAsia="hi-IN" w:bidi="hi-IN"/>
        </w:rPr>
        <w:t>“ či nesplňuje slovo „</w:t>
      </w:r>
      <w:r w:rsidRPr="003C27D8">
        <w:rPr>
          <w:rFonts w:eastAsia="Times New Roman" w:cs="Times New Roman"/>
          <w:sz w:val="21"/>
          <w:szCs w:val="21"/>
          <w:u w:val="single"/>
          <w:lang w:eastAsia="hi-IN" w:bidi="hi-IN"/>
        </w:rPr>
        <w:t>NE</w:t>
      </w:r>
      <w:r w:rsidRPr="003C27D8">
        <w:rPr>
          <w:rFonts w:eastAsia="Times New Roman" w:cs="Times New Roman"/>
          <w:sz w:val="21"/>
          <w:szCs w:val="21"/>
          <w:lang w:eastAsia="hi-IN" w:bidi="hi-IN"/>
        </w:rPr>
        <w:t xml:space="preserve">“ nebo uvede </w:t>
      </w:r>
      <w:r w:rsidRPr="003C27D8">
        <w:rPr>
          <w:rFonts w:eastAsia="Times New Roman" w:cs="Times New Roman"/>
          <w:sz w:val="21"/>
          <w:szCs w:val="21"/>
          <w:u w:val="single"/>
          <w:lang w:eastAsia="hi-IN" w:bidi="hi-IN"/>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604BE6" w:rsidRPr="003C27D8" w:rsidTr="0017073E">
        <w:trPr>
          <w:trHeight w:val="489"/>
        </w:trPr>
        <w:tc>
          <w:tcPr>
            <w:tcW w:w="5245" w:type="dxa"/>
            <w:shd w:val="clear" w:color="auto" w:fill="auto"/>
            <w:vAlign w:val="center"/>
          </w:tcPr>
          <w:p w:rsidR="00604BE6" w:rsidRPr="003C27D8" w:rsidRDefault="00604BE6" w:rsidP="0017073E">
            <w:pPr>
              <w:jc w:val="center"/>
              <w:rPr>
                <w:rFonts w:cs="Arial"/>
                <w:b/>
                <w:bCs/>
                <w:sz w:val="20"/>
                <w:lang w:eastAsia="cs-CZ"/>
              </w:rPr>
            </w:pPr>
            <w:r w:rsidRPr="003C27D8">
              <w:rPr>
                <w:rFonts w:cs="Arial"/>
                <w:b/>
                <w:bCs/>
                <w:sz w:val="20"/>
                <w:lang w:eastAsia="cs-CZ"/>
              </w:rPr>
              <w:t>Položka</w:t>
            </w:r>
          </w:p>
        </w:tc>
        <w:tc>
          <w:tcPr>
            <w:tcW w:w="5103" w:type="dxa"/>
            <w:tcBorders>
              <w:top w:val="single" w:sz="4" w:space="0" w:color="auto"/>
            </w:tcBorders>
            <w:shd w:val="clear" w:color="auto" w:fill="auto"/>
            <w:vAlign w:val="center"/>
          </w:tcPr>
          <w:p w:rsidR="00604BE6" w:rsidRPr="003C27D8" w:rsidRDefault="00604BE6" w:rsidP="0017073E">
            <w:pPr>
              <w:jc w:val="center"/>
              <w:rPr>
                <w:rFonts w:cs="Arial"/>
                <w:b/>
                <w:bCs/>
                <w:sz w:val="20"/>
                <w:lang w:eastAsia="cs-CZ"/>
              </w:rPr>
            </w:pPr>
            <w:r w:rsidRPr="003C27D8">
              <w:rPr>
                <w:rFonts w:cs="Arial"/>
                <w:b/>
                <w:bCs/>
                <w:sz w:val="20"/>
                <w:lang w:eastAsia="cs-CZ"/>
              </w:rPr>
              <w:t>Nabízené vozidlo</w:t>
            </w:r>
          </w:p>
          <w:p w:rsidR="00604BE6" w:rsidRPr="003C27D8" w:rsidRDefault="00604BE6" w:rsidP="0017073E">
            <w:pPr>
              <w:jc w:val="center"/>
              <w:rPr>
                <w:rFonts w:cs="Arial"/>
                <w:b/>
                <w:bCs/>
                <w:sz w:val="20"/>
                <w:lang w:eastAsia="cs-CZ"/>
              </w:rPr>
            </w:pPr>
            <w:r w:rsidRPr="003C27D8">
              <w:rPr>
                <w:rFonts w:cs="Arial"/>
                <w:b/>
                <w:bCs/>
                <w:color w:val="C00000"/>
                <w:sz w:val="20"/>
                <w:lang w:eastAsia="cs-CZ"/>
              </w:rPr>
              <w:t>Doplní dodavatel</w:t>
            </w:r>
          </w:p>
        </w:tc>
      </w:tr>
      <w:tr w:rsidR="00604BE6" w:rsidRPr="003C27D8" w:rsidTr="0017073E">
        <w:trPr>
          <w:trHeight w:val="344"/>
        </w:trPr>
        <w:tc>
          <w:tcPr>
            <w:tcW w:w="5245" w:type="dxa"/>
            <w:shd w:val="clear" w:color="auto" w:fill="auto"/>
            <w:vAlign w:val="center"/>
          </w:tcPr>
          <w:p w:rsidR="00604BE6" w:rsidRPr="003C27D8" w:rsidRDefault="00604BE6" w:rsidP="0017073E">
            <w:pPr>
              <w:rPr>
                <w:rFonts w:cs="Arial"/>
                <w:sz w:val="20"/>
                <w:lang w:eastAsia="ar-SA"/>
              </w:rPr>
            </w:pPr>
            <w:r>
              <w:rPr>
                <w:rFonts w:cs="Arial"/>
                <w:sz w:val="20"/>
                <w:lang w:eastAsia="ar-SA"/>
              </w:rPr>
              <w:t>T</w:t>
            </w:r>
            <w:r w:rsidRPr="003C27D8">
              <w:rPr>
                <w:rFonts w:cs="Arial"/>
                <w:sz w:val="20"/>
                <w:lang w:eastAsia="ar-SA"/>
              </w:rPr>
              <w:t>ovární značka vozidla</w:t>
            </w:r>
          </w:p>
        </w:tc>
        <w:tc>
          <w:tcPr>
            <w:tcW w:w="5103" w:type="dxa"/>
            <w:tcBorders>
              <w:top w:val="single" w:sz="4" w:space="0" w:color="auto"/>
            </w:tcBorders>
            <w:shd w:val="clear" w:color="auto" w:fill="FFFFCC"/>
            <w:vAlign w:val="center"/>
          </w:tcPr>
          <w:p w:rsidR="00604BE6" w:rsidRPr="003C27D8" w:rsidRDefault="00604BE6" w:rsidP="0017073E">
            <w:pPr>
              <w:rPr>
                <w:rFonts w:cs="Arial"/>
                <w:sz w:val="20"/>
                <w:lang w:eastAsia="ar-SA"/>
              </w:rPr>
            </w:pPr>
          </w:p>
        </w:tc>
      </w:tr>
      <w:tr w:rsidR="00604BE6" w:rsidRPr="003C27D8" w:rsidTr="0017073E">
        <w:trPr>
          <w:trHeight w:val="391"/>
        </w:trPr>
        <w:tc>
          <w:tcPr>
            <w:tcW w:w="5245" w:type="dxa"/>
            <w:shd w:val="clear" w:color="auto" w:fill="auto"/>
            <w:vAlign w:val="center"/>
          </w:tcPr>
          <w:p w:rsidR="00604BE6" w:rsidRPr="003C27D8" w:rsidRDefault="00604BE6" w:rsidP="0017073E">
            <w:pPr>
              <w:rPr>
                <w:rFonts w:cs="Arial"/>
                <w:sz w:val="20"/>
                <w:lang w:eastAsia="ar-SA"/>
              </w:rPr>
            </w:pPr>
            <w:r>
              <w:rPr>
                <w:rFonts w:cs="Arial"/>
                <w:sz w:val="20"/>
                <w:lang w:eastAsia="ar-SA"/>
              </w:rPr>
              <w:t>T</w:t>
            </w:r>
            <w:r w:rsidRPr="003C27D8">
              <w:rPr>
                <w:rFonts w:cs="Arial"/>
                <w:sz w:val="20"/>
                <w:lang w:eastAsia="ar-SA"/>
              </w:rPr>
              <w:t>yp vozidla</w:t>
            </w:r>
          </w:p>
        </w:tc>
        <w:tc>
          <w:tcPr>
            <w:tcW w:w="5103" w:type="dxa"/>
            <w:shd w:val="clear" w:color="auto" w:fill="FFFFCC"/>
            <w:vAlign w:val="center"/>
          </w:tcPr>
          <w:p w:rsidR="00604BE6" w:rsidRPr="003C27D8" w:rsidRDefault="00604BE6" w:rsidP="0017073E">
            <w:pPr>
              <w:rPr>
                <w:rFonts w:cs="Arial"/>
                <w:sz w:val="20"/>
                <w:lang w:eastAsia="ar-SA"/>
              </w:rPr>
            </w:pPr>
          </w:p>
        </w:tc>
      </w:tr>
    </w:tbl>
    <w:p w:rsidR="00604BE6" w:rsidRDefault="00604BE6" w:rsidP="00604BE6">
      <w:pPr>
        <w:spacing w:before="120" w:after="120"/>
      </w:pPr>
    </w:p>
    <w:tbl>
      <w:tblPr>
        <w:tblStyle w:val="Mkatabulky"/>
        <w:tblW w:w="10314" w:type="dxa"/>
        <w:tblInd w:w="108" w:type="dxa"/>
        <w:tblLayout w:type="fixed"/>
        <w:tblLook w:val="04A0" w:firstRow="1" w:lastRow="0" w:firstColumn="1" w:lastColumn="0" w:noHBand="0" w:noVBand="1"/>
      </w:tblPr>
      <w:tblGrid>
        <w:gridCol w:w="7088"/>
        <w:gridCol w:w="3226"/>
      </w:tblGrid>
      <w:tr w:rsidR="00604BE6" w:rsidRPr="00604BE6" w:rsidTr="00604BE6">
        <w:trPr>
          <w:trHeight w:val="489"/>
        </w:trPr>
        <w:tc>
          <w:tcPr>
            <w:tcW w:w="7088"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Požadované parametry</w:t>
            </w:r>
          </w:p>
        </w:tc>
        <w:tc>
          <w:tcPr>
            <w:tcW w:w="3226"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Parametry nabízené dodavatelem</w:t>
            </w:r>
          </w:p>
          <w:p w:rsidR="00604BE6" w:rsidRPr="00604BE6" w:rsidRDefault="00604BE6" w:rsidP="0017073E">
            <w:pPr>
              <w:jc w:val="center"/>
              <w:rPr>
                <w:rFonts w:cs="Arial"/>
                <w:b/>
                <w:bCs/>
                <w:sz w:val="20"/>
                <w:szCs w:val="20"/>
                <w:lang w:eastAsia="cs-CZ"/>
              </w:rPr>
            </w:pPr>
            <w:r w:rsidRPr="00604BE6">
              <w:rPr>
                <w:rFonts w:cs="Arial"/>
                <w:b/>
                <w:bCs/>
                <w:color w:val="C00000"/>
                <w:sz w:val="20"/>
                <w:szCs w:val="20"/>
                <w:lang w:eastAsia="cs-CZ"/>
              </w:rPr>
              <w:t>Doplní dodavatel</w:t>
            </w: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Nové vozidlo rok výroby 2019.</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Osobní automobil kategorie M1.</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Najeto max. 300 km.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Motor vznětový přeplňovaný minimálně čtyřválcový.</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 xml:space="preserve">Výkon motoru min. 85 kW, maximální krouticí moment min. 250 </w:t>
            </w:r>
            <w:proofErr w:type="spellStart"/>
            <w:r w:rsidRPr="00604BE6">
              <w:rPr>
                <w:rFonts w:cs="Arial"/>
                <w:sz w:val="20"/>
                <w:szCs w:val="20"/>
              </w:rPr>
              <w:t>Nm</w:t>
            </w:r>
            <w:proofErr w:type="spellEnd"/>
            <w:r w:rsidRPr="00604BE6">
              <w:rPr>
                <w:rFonts w:cs="Arial"/>
                <w:sz w:val="20"/>
                <w:szCs w:val="20"/>
              </w:rPr>
              <w:t>.</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Zdvihový objem motoru min. 1582 ccm.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Celková hmotnost max. 2100 kg.</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Šířka vozidla min. 1792 mm bez zrcátek.</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Výška vozidla bez výstražného světelného zařízení min. 1451 mm.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Délka vozidla min. 4348 mm.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Rozvor kol min. 2635 mm.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Kabina pětimístná, pětidveřová.</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Pohon přední nápravy nebo všech kol.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ABS, elektronický stabilizační systém, elektronické rozdělování brzdné síly provádějící samočinnou úpravu brzdného tlaku mezi přední a zadní nápravou, protiprokluzový systém zajišťující přenos hnací síly od motoru na povrch vozovky.</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proofErr w:type="spellStart"/>
            <w:r w:rsidRPr="00604BE6">
              <w:rPr>
                <w:rFonts w:cs="Arial"/>
                <w:sz w:val="20"/>
                <w:szCs w:val="20"/>
              </w:rPr>
              <w:t>Multikolizní</w:t>
            </w:r>
            <w:proofErr w:type="spellEnd"/>
            <w:r w:rsidRPr="00604BE6">
              <w:rPr>
                <w:rFonts w:cs="Arial"/>
                <w:sz w:val="20"/>
                <w:szCs w:val="20"/>
              </w:rPr>
              <w:t xml:space="preserve"> brzda.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 xml:space="preserve">Sledování odstupu od vpředu jedoucího vozidla včetně automatického zpomalení a brždění. </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Asistent udržování jízdního pruhu.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Asistent rozjezdu do kopce.</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Imobilizér, otáčkoměr, třetí brzdové světlo.</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Maximální rychlost vozidla min. 200 km/h.</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Převodovka manuální min. šestistupňová směrem vpřed, nebo automatická min. sedmistupňová směrem vpřed.</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Tónovaná skla, od B sloupku dozadu se zvýšeným zatemněním oken. Zadavatel nepřipouští dodatečné zatemnění oken folií.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Tempomat, omezovač rychlosti.</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Klimatizace s automatickou regulací.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Airbagy řidiče a spolujezdce, boční vpředu, hlavové vpředu.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lastRenderedPageBreak/>
              <w:t>Signalizace nezapnutého bezpečnostního pásu na všech sedadlech.</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Centrální zamykání s dálkovým ovládáním, 2 ks klíče s ovládáním.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Start bez použití klíče ve spínací skříňce.</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Motor exhalační norma min. Euro 6.</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Přední mlhové světlomety.</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LED zadní koncová světla.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LED světla pro denní svícení s automatickým rozsvícením.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Full LED (</w:t>
            </w:r>
            <w:proofErr w:type="spellStart"/>
            <w:r w:rsidRPr="00604BE6">
              <w:rPr>
                <w:rFonts w:cs="Arial"/>
                <w:sz w:val="20"/>
                <w:szCs w:val="20"/>
              </w:rPr>
              <w:t>Bi</w:t>
            </w:r>
            <w:proofErr w:type="spellEnd"/>
            <w:r w:rsidRPr="00604BE6">
              <w:rPr>
                <w:rFonts w:cs="Arial"/>
                <w:sz w:val="20"/>
                <w:szCs w:val="20"/>
              </w:rPr>
              <w:t>-LED) hlavní světlomety s automatickým rozsvícením. Světla s funkcí přisvícením do zatáček, může být nahrazeno přisvícením mlhových světel.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Osvětlená a chlazená odkládací schránka před spolujezdcem.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Odkládací schránka mezi předními sedadly s nastavitelnou loketní opěrkou.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Dešťový senzor předních stěračů.</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2 ks čtecí lampička vpředu.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Vyhřívané trysky ostřikovačů čelního skla.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Signalizace poklesu hladiny náplně ostřikovačů.</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Kotoučové brzdy přední a zadní.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Elektrické stahování předních a zadních oken.</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Stěrač zadního okna s ostřikovačem.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Vnější zpětné zrcátko řidiče elektricky nastavitelné, vyhřívané, elektricky sklopné.</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Vnější zpětné zrcátko u spolujezdce elektricky nastavitelné, vyhřívané, elektricky sklopné.</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Výškově nastavitelné opěrky hlavy předních sedadel.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Posilovač řízení.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Autorádio s min. 8“ barevnou obrazovkou, originální autorádio od výrobce vozidla v prvním stupni výroby.</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Zrcadlení telefonu na obrazovce autorádia. Může být nahrazeno navigací integrovanou v autorádiu.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 xml:space="preserve">Vstup 2x USB, </w:t>
            </w:r>
            <w:proofErr w:type="spellStart"/>
            <w:r w:rsidRPr="00604BE6">
              <w:rPr>
                <w:rFonts w:cs="Arial"/>
                <w:sz w:val="20"/>
                <w:szCs w:val="20"/>
              </w:rPr>
              <w:t>bluetooth</w:t>
            </w:r>
            <w:proofErr w:type="spellEnd"/>
            <w:r w:rsidRPr="00604BE6">
              <w:rPr>
                <w:rFonts w:cs="Arial"/>
                <w:sz w:val="20"/>
                <w:szCs w:val="20"/>
              </w:rPr>
              <w:t xml:space="preserve"> telefonování.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Zásuvka 12V 1x vpředu a 1x v zavazadlovém prostoru.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Ovládání telefonování a autorádia na volantu.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Výškově a podélně nastavitelný volant.</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Kontrola tlaku vzduchu v pneumatikách.</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Vnitřní zpětné zrcátko s funkcí automatického odclonění.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Barva karoserie bílá lakování v 1. stupni výroby včetně lakovaných nárazníků a klik dveří.</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Prodloužená záruka min. na 5 let a 150 000 km, zadavatel připouští připojištění prodloužené záruky.</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Základní objem zavazadlového prostoru uváděný výrobcem min. 465 lit.</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Zavazadlový prostor osvětlený.</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Min. hloubka dna zavazadlového prostoru 870 mm.</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Palubní počítač.</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Rezervní kolo min. ocelové dojezdové včetně zvedáku a klíče na kola.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Povinná výbava dle platné legislativy.</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Výškově nastavitelná sedadla vpředu, včetně bederních opěrek, vyhřívání předních sedadel.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Signalizace vzdálenosti při parkování vzadu.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Kola z lehkých slitin min. 16“.</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4"/>
              </w:numPr>
              <w:ind w:left="459" w:hanging="425"/>
              <w:rPr>
                <w:rFonts w:cs="Arial"/>
                <w:sz w:val="20"/>
                <w:szCs w:val="20"/>
              </w:rPr>
            </w:pPr>
            <w:r w:rsidRPr="00604BE6">
              <w:rPr>
                <w:rFonts w:cs="Arial"/>
                <w:sz w:val="20"/>
                <w:szCs w:val="20"/>
              </w:rPr>
              <w:t>Koberečky vpředu a vzadu.</w:t>
            </w:r>
          </w:p>
        </w:tc>
        <w:tc>
          <w:tcPr>
            <w:tcW w:w="3226" w:type="dxa"/>
            <w:shd w:val="clear" w:color="auto" w:fill="FFFFCC"/>
          </w:tcPr>
          <w:p w:rsidR="00604BE6" w:rsidRPr="00604BE6" w:rsidRDefault="00604BE6" w:rsidP="00604BE6">
            <w:pPr>
              <w:rPr>
                <w:sz w:val="20"/>
                <w:szCs w:val="20"/>
              </w:rPr>
            </w:pPr>
          </w:p>
        </w:tc>
      </w:tr>
      <w:tr w:rsidR="00604BE6" w:rsidRPr="00604BE6" w:rsidTr="004F1C23">
        <w:tc>
          <w:tcPr>
            <w:tcW w:w="10314" w:type="dxa"/>
            <w:gridSpan w:val="2"/>
          </w:tcPr>
          <w:p w:rsidR="00604BE6" w:rsidRPr="00604BE6" w:rsidRDefault="00604BE6" w:rsidP="00604BE6">
            <w:pPr>
              <w:rPr>
                <w:sz w:val="20"/>
                <w:szCs w:val="20"/>
              </w:rPr>
            </w:pPr>
            <w:r w:rsidRPr="00604BE6">
              <w:rPr>
                <w:rFonts w:cs="Arial"/>
                <w:sz w:val="20"/>
                <w:szCs w:val="20"/>
              </w:rPr>
              <w:t xml:space="preserve">Veškeré výše uvedené hodnoty a parametry jsou získány z běžně dostupných informačních zdrojů výrobců jednotlivých vozidel. Zadavatel nenese odpovědnost za případné chyby v </w:t>
            </w:r>
            <w:bookmarkStart w:id="0" w:name="_GoBack"/>
            <w:bookmarkEnd w:id="0"/>
            <w:r w:rsidRPr="00604BE6">
              <w:rPr>
                <w:rFonts w:cs="Arial"/>
                <w:sz w:val="20"/>
                <w:szCs w:val="20"/>
              </w:rPr>
              <w:t>těchto informačních zdrojích.</w:t>
            </w:r>
          </w:p>
        </w:tc>
      </w:tr>
    </w:tbl>
    <w:p w:rsidR="0056477B" w:rsidRPr="00604BE6" w:rsidRDefault="000C1EFE" w:rsidP="00604BE6">
      <w:pPr>
        <w:pStyle w:val="Nadpis2"/>
      </w:pPr>
      <w:r w:rsidRPr="00604BE6">
        <w:lastRenderedPageBreak/>
        <w:t>Technická z</w:t>
      </w:r>
      <w:r w:rsidR="0056477B" w:rsidRPr="00604BE6">
        <w:t>ástavba</w:t>
      </w:r>
      <w:r w:rsidR="002B7243" w:rsidRPr="00604BE6">
        <w:t>,</w:t>
      </w:r>
      <w:r w:rsidR="00EF04D4" w:rsidRPr="00604BE6">
        <w:t xml:space="preserve"> druhý stupeň výroby</w:t>
      </w:r>
    </w:p>
    <w:tbl>
      <w:tblPr>
        <w:tblStyle w:val="Mkatabulky"/>
        <w:tblW w:w="10314" w:type="dxa"/>
        <w:tblInd w:w="108" w:type="dxa"/>
        <w:tblLayout w:type="fixed"/>
        <w:tblLook w:val="04A0" w:firstRow="1" w:lastRow="0" w:firstColumn="1" w:lastColumn="0" w:noHBand="0" w:noVBand="1"/>
      </w:tblPr>
      <w:tblGrid>
        <w:gridCol w:w="7088"/>
        <w:gridCol w:w="3226"/>
      </w:tblGrid>
      <w:tr w:rsidR="00604BE6" w:rsidRPr="00604BE6" w:rsidTr="00604BE6">
        <w:trPr>
          <w:trHeight w:val="489"/>
        </w:trPr>
        <w:tc>
          <w:tcPr>
            <w:tcW w:w="7088" w:type="dxa"/>
          </w:tcPr>
          <w:p w:rsidR="00604BE6" w:rsidRPr="00604BE6" w:rsidRDefault="00604BE6" w:rsidP="00604BE6">
            <w:pPr>
              <w:keepNext/>
              <w:jc w:val="center"/>
              <w:rPr>
                <w:rFonts w:cs="Arial"/>
                <w:b/>
                <w:bCs/>
                <w:sz w:val="20"/>
                <w:szCs w:val="20"/>
                <w:lang w:eastAsia="cs-CZ"/>
              </w:rPr>
            </w:pPr>
            <w:r w:rsidRPr="00604BE6">
              <w:rPr>
                <w:rFonts w:cs="Arial"/>
                <w:b/>
                <w:bCs/>
                <w:sz w:val="20"/>
                <w:szCs w:val="20"/>
                <w:lang w:eastAsia="cs-CZ"/>
              </w:rPr>
              <w:t>Požadované parametry</w:t>
            </w:r>
          </w:p>
        </w:tc>
        <w:tc>
          <w:tcPr>
            <w:tcW w:w="3226" w:type="dxa"/>
          </w:tcPr>
          <w:p w:rsidR="00604BE6" w:rsidRPr="00604BE6" w:rsidRDefault="00604BE6" w:rsidP="00604BE6">
            <w:pPr>
              <w:keepNext/>
              <w:jc w:val="center"/>
              <w:rPr>
                <w:rFonts w:cs="Arial"/>
                <w:b/>
                <w:bCs/>
                <w:sz w:val="20"/>
                <w:szCs w:val="20"/>
                <w:lang w:eastAsia="cs-CZ"/>
              </w:rPr>
            </w:pPr>
            <w:r w:rsidRPr="00604BE6">
              <w:rPr>
                <w:rFonts w:cs="Arial"/>
                <w:b/>
                <w:bCs/>
                <w:sz w:val="20"/>
                <w:szCs w:val="20"/>
                <w:lang w:eastAsia="cs-CZ"/>
              </w:rPr>
              <w:t>Parametry nabízené dodavatelem</w:t>
            </w:r>
          </w:p>
          <w:p w:rsidR="00604BE6" w:rsidRPr="00604BE6" w:rsidRDefault="00604BE6" w:rsidP="00604BE6">
            <w:pPr>
              <w:keepNext/>
              <w:jc w:val="center"/>
              <w:rPr>
                <w:rFonts w:cs="Arial"/>
                <w:b/>
                <w:bCs/>
                <w:sz w:val="20"/>
                <w:szCs w:val="20"/>
                <w:lang w:eastAsia="cs-CZ"/>
              </w:rPr>
            </w:pPr>
            <w:r w:rsidRPr="00604BE6">
              <w:rPr>
                <w:rFonts w:cs="Arial"/>
                <w:b/>
                <w:bCs/>
                <w:color w:val="C00000"/>
                <w:sz w:val="20"/>
                <w:szCs w:val="20"/>
                <w:lang w:eastAsia="cs-CZ"/>
              </w:rPr>
              <w:t>Doplní dodavatel</w:t>
            </w: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Zástavba vozidla v souladu s platnou legislativou, včetně zápisu v TP vozidla.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Systém umožňující ponechat vozidlo s nastartovaným motorem, uzamčené a se zataženou ruční brzdou, bez přítomnosti klíče uvnitř vozidla. Zamčení a odemčení vozidla při aktivovaní této funkce musí být umožněno dálkovým ovladačem v klíčku vozidla.</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Osvětlení zavazadlového prostoru led páskem studené bílé barvy na obou bocích dle možností konstrukce vozidla. Sepnutí a vypnutí světla otevřením a zavřením pátých dveří, možnost vypnutí světla při otevřených dveřích samostatným vypínačem umístěným na boku zavazadlového prostoru. Světlo nesmí být závislé na časovém spínači osvětlení zavazadlového prostoru. Přesné umístění určí zadavatel.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Montáž držáku pravoúhlé LED přenosné svítilny včetně napájení v zavazadlovém prostoru. Svítilnu a držák dodá zadavatel.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bCs/>
                <w:sz w:val="20"/>
                <w:szCs w:val="20"/>
              </w:rPr>
            </w:pPr>
            <w:r w:rsidRPr="00604BE6">
              <w:rPr>
                <w:rFonts w:cs="Arial"/>
                <w:sz w:val="20"/>
                <w:szCs w:val="20"/>
              </w:rPr>
              <w:t xml:space="preserve">1 ks držák </w:t>
            </w:r>
            <w:r w:rsidRPr="00604BE6">
              <w:rPr>
                <w:rFonts w:cs="Arial"/>
                <w:bCs/>
                <w:sz w:val="20"/>
                <w:szCs w:val="20"/>
              </w:rPr>
              <w:t>dopravního kuželu se světlem DKL-75 LED</w:t>
            </w:r>
            <w:r w:rsidRPr="00604BE6">
              <w:rPr>
                <w:rFonts w:cs="Arial"/>
                <w:sz w:val="20"/>
                <w:szCs w:val="20"/>
              </w:rPr>
              <w:t>. Držák musí zamezit volnému pohybu kuželu po zavazadlovém prostoru. Kužel dodá zadavatel.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 xml:space="preserve">1 ks hasicí přístroj práškový 2 kg s držákem, umístění v zavazadlovém prostoru. </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1 ks držák krabice s jednorázovými rukavicemi v zavazadlovém prostoru.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1 ks držák ochranné přilby. Držák musí zajistit bezpečné uchycení přilby. Přilba nesmí být uchycena popruhem volně z důvodu hluku při jejím pohybu za jízdy. Držák musí být rychloupínací pro možnost okamžitého použití přilby. Typ přilby a umístění držáku upřesní zadavatel.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Montáž držáku ruční radiostanice Matra v prostoru přístrojové desky včetně napájení. Držák a radiostanici dodá zadavatel. Kabeláž vyvedena s dostatečnou rezervou. Přesné umístění určí zadavatel.</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1 ks koště průmyslové min. 250 mm široké s násadou (zakrácení násady dle možností zavazadlového prostoru).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1 ks lopata Alu min. 250 mm široká s násadou (zakrácení násady dle možností zavazadlového prostoru).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Držák pro koště a lopatu.</w:t>
            </w:r>
          </w:p>
        </w:tc>
        <w:tc>
          <w:tcPr>
            <w:tcW w:w="3226" w:type="dxa"/>
            <w:shd w:val="clear" w:color="auto" w:fill="FFFFCC"/>
          </w:tcPr>
          <w:p w:rsidR="00604BE6" w:rsidRPr="00604BE6" w:rsidRDefault="00604BE6" w:rsidP="00604BE6">
            <w:pPr>
              <w:rPr>
                <w:sz w:val="20"/>
                <w:szCs w:val="20"/>
              </w:rPr>
            </w:pPr>
          </w:p>
        </w:tc>
      </w:tr>
      <w:tr w:rsidR="00604BE6" w:rsidRPr="00604BE6" w:rsidTr="00604BE6">
        <w:tc>
          <w:tcPr>
            <w:tcW w:w="7088" w:type="dxa"/>
          </w:tcPr>
          <w:p w:rsidR="00604BE6" w:rsidRPr="00604BE6" w:rsidRDefault="00604BE6" w:rsidP="00604BE6">
            <w:pPr>
              <w:pStyle w:val="Odstavecseseznamem"/>
              <w:numPr>
                <w:ilvl w:val="0"/>
                <w:numId w:val="5"/>
              </w:numPr>
              <w:ind w:left="459" w:hanging="459"/>
              <w:rPr>
                <w:rFonts w:cs="Arial"/>
                <w:sz w:val="20"/>
                <w:szCs w:val="20"/>
              </w:rPr>
            </w:pPr>
            <w:r w:rsidRPr="00604BE6">
              <w:rPr>
                <w:rFonts w:cs="Arial"/>
                <w:sz w:val="20"/>
                <w:szCs w:val="20"/>
              </w:rPr>
              <w:t>Držák kufru s ručním nářadím v zavazadlovém prostoru, kufr dodá zadavatel.</w:t>
            </w:r>
          </w:p>
        </w:tc>
        <w:tc>
          <w:tcPr>
            <w:tcW w:w="3226" w:type="dxa"/>
            <w:shd w:val="clear" w:color="auto" w:fill="FFFFCC"/>
          </w:tcPr>
          <w:p w:rsidR="00604BE6" w:rsidRPr="00604BE6" w:rsidRDefault="00604BE6" w:rsidP="00604BE6">
            <w:pPr>
              <w:rPr>
                <w:sz w:val="20"/>
                <w:szCs w:val="20"/>
              </w:rPr>
            </w:pPr>
          </w:p>
        </w:tc>
      </w:tr>
      <w:tr w:rsidR="00604BE6" w:rsidRPr="00604BE6" w:rsidTr="00065A49">
        <w:tc>
          <w:tcPr>
            <w:tcW w:w="10314" w:type="dxa"/>
            <w:gridSpan w:val="2"/>
          </w:tcPr>
          <w:p w:rsidR="00604BE6" w:rsidRPr="00604BE6" w:rsidRDefault="00604BE6" w:rsidP="00604BE6">
            <w:pPr>
              <w:rPr>
                <w:sz w:val="20"/>
                <w:szCs w:val="20"/>
              </w:rPr>
            </w:pPr>
            <w:r w:rsidRPr="00604BE6">
              <w:rPr>
                <w:rFonts w:cs="Arial"/>
                <w:sz w:val="20"/>
                <w:szCs w:val="20"/>
              </w:rPr>
              <w:t>Veškeré výše popsané komponenty zástavby musí být dodavatelem dodány a namontovány jako součást zástavby vozidla a s vozidlem v prvním stupni výroby musí tvořit jeden celek. Přesné rozmístění všech komponentů určí zadavatel dle nabídnutého podvozku.</w:t>
            </w:r>
          </w:p>
        </w:tc>
      </w:tr>
    </w:tbl>
    <w:p w:rsidR="00296205" w:rsidRPr="00604BE6" w:rsidRDefault="00296205" w:rsidP="00604BE6">
      <w:pPr>
        <w:pStyle w:val="Nadpis2"/>
      </w:pPr>
      <w:r w:rsidRPr="00604BE6">
        <w:t>Výstražné světelné a zvukové zařízení</w:t>
      </w:r>
    </w:p>
    <w:p w:rsidR="00604BE6" w:rsidRPr="00604BE6" w:rsidRDefault="00AE70D3" w:rsidP="00283BD2">
      <w:pPr>
        <w:spacing w:after="160" w:line="259" w:lineRule="auto"/>
        <w:ind w:left="360"/>
        <w:jc w:val="both"/>
        <w:rPr>
          <w:rFonts w:eastAsia="Times New Roman" w:cs="Arial"/>
          <w:b/>
          <w:sz w:val="24"/>
          <w:szCs w:val="24"/>
          <w:lang w:eastAsia="cs-CZ"/>
        </w:rPr>
      </w:pPr>
      <w:r w:rsidRPr="00604BE6">
        <w:rPr>
          <w:rFonts w:eastAsia="Times New Roman" w:cs="Arial"/>
          <w:b/>
          <w:sz w:val="24"/>
          <w:szCs w:val="24"/>
          <w:lang w:eastAsia="cs-CZ"/>
        </w:rPr>
        <w:t xml:space="preserve">Veškeré použité díly musí být </w:t>
      </w:r>
      <w:r w:rsidR="00EB6BD3" w:rsidRPr="00604BE6">
        <w:rPr>
          <w:rFonts w:eastAsia="Times New Roman" w:cs="Arial"/>
          <w:b/>
          <w:sz w:val="24"/>
          <w:szCs w:val="24"/>
          <w:lang w:eastAsia="cs-CZ"/>
        </w:rPr>
        <w:t xml:space="preserve">dodány a namontovány </w:t>
      </w:r>
      <w:r w:rsidR="00070FE2" w:rsidRPr="00604BE6">
        <w:rPr>
          <w:rFonts w:eastAsia="Times New Roman" w:cs="Arial"/>
          <w:b/>
          <w:sz w:val="24"/>
          <w:szCs w:val="24"/>
          <w:lang w:eastAsia="cs-CZ"/>
        </w:rPr>
        <w:t xml:space="preserve">do vozidla </w:t>
      </w:r>
      <w:r w:rsidRPr="00604BE6">
        <w:rPr>
          <w:rFonts w:eastAsia="Times New Roman" w:cs="Arial"/>
          <w:b/>
          <w:sz w:val="24"/>
          <w:szCs w:val="24"/>
          <w:lang w:eastAsia="cs-CZ"/>
        </w:rPr>
        <w:t>v souladu s platnou legislativou především s předpisy EHK 65 R a 10.04 (a vyšší) R</w:t>
      </w:r>
    </w:p>
    <w:tbl>
      <w:tblPr>
        <w:tblStyle w:val="Mkatabulky"/>
        <w:tblW w:w="10314" w:type="dxa"/>
        <w:tblInd w:w="108" w:type="dxa"/>
        <w:tblLayout w:type="fixed"/>
        <w:tblLook w:val="04A0" w:firstRow="1" w:lastRow="0" w:firstColumn="1" w:lastColumn="0" w:noHBand="0" w:noVBand="1"/>
      </w:tblPr>
      <w:tblGrid>
        <w:gridCol w:w="7088"/>
        <w:gridCol w:w="3226"/>
      </w:tblGrid>
      <w:tr w:rsidR="00604BE6" w:rsidRPr="00604BE6" w:rsidTr="00604BE6">
        <w:trPr>
          <w:trHeight w:val="489"/>
        </w:trPr>
        <w:tc>
          <w:tcPr>
            <w:tcW w:w="7088"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Požadované parametry</w:t>
            </w:r>
          </w:p>
        </w:tc>
        <w:tc>
          <w:tcPr>
            <w:tcW w:w="3226"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Parametry nabízené dodavatelem</w:t>
            </w:r>
          </w:p>
          <w:p w:rsidR="00604BE6" w:rsidRPr="00604BE6" w:rsidRDefault="00604BE6" w:rsidP="0017073E">
            <w:pPr>
              <w:jc w:val="center"/>
              <w:rPr>
                <w:rFonts w:cs="Arial"/>
                <w:b/>
                <w:bCs/>
                <w:sz w:val="20"/>
                <w:szCs w:val="20"/>
                <w:lang w:eastAsia="cs-CZ"/>
              </w:rPr>
            </w:pPr>
            <w:r w:rsidRPr="00604BE6">
              <w:rPr>
                <w:rFonts w:cs="Arial"/>
                <w:b/>
                <w:bCs/>
                <w:color w:val="C00000"/>
                <w:sz w:val="20"/>
                <w:szCs w:val="20"/>
                <w:lang w:eastAsia="cs-CZ"/>
              </w:rPr>
              <w:t>Doplní dodavatel</w:t>
            </w: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 xml:space="preserve">Skrytá instalace sirény o minimálním výkonu 100W se čtyřmi tóny včetně </w:t>
            </w:r>
            <w:proofErr w:type="spellStart"/>
            <w:r w:rsidRPr="00604BE6">
              <w:rPr>
                <w:rFonts w:eastAsia="Calibri" w:cs="Arial"/>
                <w:sz w:val="20"/>
                <w:szCs w:val="20"/>
              </w:rPr>
              <w:t>hornu</w:t>
            </w:r>
            <w:proofErr w:type="spellEnd"/>
            <w:r w:rsidRPr="00604BE6">
              <w:rPr>
                <w:rFonts w:eastAsia="Calibri" w:cs="Arial"/>
                <w:sz w:val="20"/>
                <w:szCs w:val="20"/>
              </w:rPr>
              <w:t>. Horn tón lze spustit při jakékoliv funkci sirény. Ovládání sirény pomocí spínačů nebo klaksonem vozidla. Sirénu lze spustit pouze při zapnutých výstražných světlech modré barvy. Přesné zapojení bude odsouhlaseno zadavatelem před zahájením výroby.</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 xml:space="preserve">Reproduktor kompatibilní s dodávanou sirénou v počtu pro dosažení celkového výkonu celého systému min. 100W. Instalace </w:t>
            </w:r>
            <w:proofErr w:type="gramStart"/>
            <w:r w:rsidRPr="00604BE6">
              <w:rPr>
                <w:rFonts w:eastAsia="Calibri" w:cs="Arial"/>
                <w:sz w:val="20"/>
                <w:szCs w:val="20"/>
              </w:rPr>
              <w:t>musí</w:t>
            </w:r>
            <w:proofErr w:type="gramEnd"/>
            <w:r w:rsidRPr="00604BE6">
              <w:rPr>
                <w:rFonts w:eastAsia="Calibri" w:cs="Arial"/>
                <w:sz w:val="20"/>
                <w:szCs w:val="20"/>
              </w:rPr>
              <w:t xml:space="preserve"> být v přední části </w:t>
            </w:r>
            <w:proofErr w:type="gramStart"/>
            <w:r w:rsidRPr="00604BE6">
              <w:rPr>
                <w:rFonts w:eastAsia="Calibri" w:cs="Arial"/>
                <w:sz w:val="20"/>
                <w:szCs w:val="20"/>
              </w:rPr>
              <w:t>vozila</w:t>
            </w:r>
            <w:proofErr w:type="gramEnd"/>
            <w:r w:rsidRPr="00604BE6">
              <w:rPr>
                <w:rFonts w:eastAsia="Calibri" w:cs="Arial"/>
                <w:sz w:val="20"/>
                <w:szCs w:val="20"/>
              </w:rPr>
              <w:t xml:space="preserve"> (před chladičem) tak, aby konstrukce vozidla netlumila zvuk sirény. Přesné umístění bude odsouhlaseno zadavatelem před zahájením výroby.</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 xml:space="preserve">LED magnetický odnímatelný majáček modré barvy jednořadý s min. třiceti světelnými body. Zapojení majáčku do rohové </w:t>
            </w:r>
            <w:proofErr w:type="spellStart"/>
            <w:r w:rsidRPr="00604BE6">
              <w:rPr>
                <w:rFonts w:eastAsia="Calibri" w:cs="Arial"/>
                <w:sz w:val="20"/>
                <w:szCs w:val="20"/>
              </w:rPr>
              <w:t>zapalovačové</w:t>
            </w:r>
            <w:proofErr w:type="spellEnd"/>
            <w:r w:rsidRPr="00604BE6">
              <w:rPr>
                <w:rFonts w:eastAsia="Calibri" w:cs="Arial"/>
                <w:sz w:val="20"/>
                <w:szCs w:val="20"/>
              </w:rPr>
              <w:t xml:space="preserve"> zásuvky umístěné na levém B sloupku zevnitř. Tato zásuvka ovládána spínačem výstražných </w:t>
            </w:r>
            <w:r w:rsidRPr="00604BE6">
              <w:rPr>
                <w:rFonts w:eastAsia="Calibri" w:cs="Arial"/>
                <w:sz w:val="20"/>
                <w:szCs w:val="20"/>
              </w:rPr>
              <w:lastRenderedPageBreak/>
              <w:t>světel v dosahu řidiče. Propojení majáku se zásuvkou kroucenou šňůrou umožňující přivření do rámu dveří. Přesné umístění komponentů určí zadavatel.</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lastRenderedPageBreak/>
              <w:t xml:space="preserve">Přídavné LED modré a červené světlo s min. 8 světelnými body připevněno na čelním skle zevnitř pomocí přísavek, umístění nad přístrojovou deskou. Světlo musí být schváleného typu, zapojeno do </w:t>
            </w:r>
            <w:proofErr w:type="spellStart"/>
            <w:r w:rsidRPr="00604BE6">
              <w:rPr>
                <w:rFonts w:eastAsia="Calibri" w:cs="Arial"/>
                <w:sz w:val="20"/>
                <w:szCs w:val="20"/>
              </w:rPr>
              <w:t>zapalovačové</w:t>
            </w:r>
            <w:proofErr w:type="spellEnd"/>
            <w:r w:rsidRPr="00604BE6">
              <w:rPr>
                <w:rFonts w:eastAsia="Calibri" w:cs="Arial"/>
                <w:sz w:val="20"/>
                <w:szCs w:val="20"/>
              </w:rPr>
              <w:t xml:space="preserve"> zásuvky integrované do přístrojové desky poblíž tohoto světla. Tato zásuvka ovládána spínačem výstražných světel spolu se zásuvkou pro magnetický majáček.</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Poměr červené a modré barvy v přídavném světle 1:1, červená barva umístěna na straně řidiče.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Spínače pro ovládání výstražného světelného a zvukového zařízení v dosahu řidiče. Přesné umístění spínačů odsouhlasí zadavatel před montáží.</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7"/>
              </w:numPr>
              <w:spacing w:after="160"/>
              <w:ind w:left="459" w:hanging="425"/>
              <w:contextualSpacing/>
              <w:rPr>
                <w:rFonts w:eastAsia="Calibri" w:cs="Arial"/>
                <w:sz w:val="20"/>
                <w:szCs w:val="20"/>
              </w:rPr>
            </w:pPr>
            <w:r w:rsidRPr="00604BE6">
              <w:rPr>
                <w:rFonts w:eastAsia="Calibri" w:cs="Arial"/>
                <w:sz w:val="20"/>
                <w:szCs w:val="20"/>
              </w:rPr>
              <w:t>Veškeré instalace výstražných světelných a zvukových zařízení odsouhlasí před montáží zadavatel.</w:t>
            </w:r>
          </w:p>
        </w:tc>
        <w:tc>
          <w:tcPr>
            <w:tcW w:w="3226" w:type="dxa"/>
            <w:shd w:val="clear" w:color="auto" w:fill="FFFFCC"/>
          </w:tcPr>
          <w:p w:rsidR="00604BE6" w:rsidRPr="00604BE6" w:rsidRDefault="00604BE6" w:rsidP="00604BE6">
            <w:pPr>
              <w:rPr>
                <w:sz w:val="20"/>
              </w:rPr>
            </w:pPr>
          </w:p>
        </w:tc>
      </w:tr>
    </w:tbl>
    <w:p w:rsidR="001251A6" w:rsidRPr="00604BE6" w:rsidRDefault="001251A6" w:rsidP="00604BE6">
      <w:pPr>
        <w:pStyle w:val="Nadpis2"/>
        <w:rPr>
          <w:lang w:eastAsia="ar-SA"/>
        </w:rPr>
      </w:pPr>
      <w:r w:rsidRPr="00604BE6">
        <w:rPr>
          <w:lang w:eastAsia="ar-SA"/>
        </w:rPr>
        <w:t>Zadavatel požaduje dodat s vozidlem následující dokumentaci a technickou podporu</w:t>
      </w:r>
    </w:p>
    <w:tbl>
      <w:tblPr>
        <w:tblStyle w:val="Mkatabulky"/>
        <w:tblW w:w="10314" w:type="dxa"/>
        <w:tblInd w:w="108" w:type="dxa"/>
        <w:tblLayout w:type="fixed"/>
        <w:tblLook w:val="04A0" w:firstRow="1" w:lastRow="0" w:firstColumn="1" w:lastColumn="0" w:noHBand="0" w:noVBand="1"/>
      </w:tblPr>
      <w:tblGrid>
        <w:gridCol w:w="7088"/>
        <w:gridCol w:w="3226"/>
      </w:tblGrid>
      <w:tr w:rsidR="00604BE6" w:rsidRPr="00604BE6" w:rsidTr="00604BE6">
        <w:trPr>
          <w:trHeight w:val="489"/>
        </w:trPr>
        <w:tc>
          <w:tcPr>
            <w:tcW w:w="7088"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Požadované parametry</w:t>
            </w:r>
          </w:p>
        </w:tc>
        <w:tc>
          <w:tcPr>
            <w:tcW w:w="3226" w:type="dxa"/>
          </w:tcPr>
          <w:p w:rsidR="00604BE6" w:rsidRPr="00604BE6" w:rsidRDefault="00604BE6" w:rsidP="0017073E">
            <w:pPr>
              <w:jc w:val="center"/>
              <w:rPr>
                <w:rFonts w:cs="Arial"/>
                <w:b/>
                <w:bCs/>
                <w:sz w:val="20"/>
                <w:szCs w:val="20"/>
                <w:lang w:eastAsia="cs-CZ"/>
              </w:rPr>
            </w:pPr>
            <w:r w:rsidRPr="00604BE6">
              <w:rPr>
                <w:rFonts w:cs="Arial"/>
                <w:b/>
                <w:bCs/>
                <w:sz w:val="20"/>
                <w:szCs w:val="20"/>
                <w:lang w:eastAsia="cs-CZ"/>
              </w:rPr>
              <w:t>Parametry nabízené dodavatelem</w:t>
            </w:r>
          </w:p>
          <w:p w:rsidR="00604BE6" w:rsidRPr="00604BE6" w:rsidRDefault="00604BE6" w:rsidP="0017073E">
            <w:pPr>
              <w:jc w:val="center"/>
              <w:rPr>
                <w:rFonts w:cs="Arial"/>
                <w:b/>
                <w:bCs/>
                <w:sz w:val="20"/>
                <w:szCs w:val="20"/>
                <w:lang w:eastAsia="cs-CZ"/>
              </w:rPr>
            </w:pPr>
            <w:r w:rsidRPr="00604BE6">
              <w:rPr>
                <w:rFonts w:cs="Arial"/>
                <w:b/>
                <w:bCs/>
                <w:color w:val="C00000"/>
                <w:sz w:val="20"/>
                <w:szCs w:val="20"/>
                <w:lang w:eastAsia="cs-CZ"/>
              </w:rPr>
              <w:t>Doplní dodavatel</w:t>
            </w: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Návod k obsluze a údržbě vozidla a zástavby v českém jazyce.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Podrobné schéma rozvodu 12V zástavby s popisem v českém jazyce.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Podrobný přehled osazení pojistek a relé 12V pro zástavbu v českém jazyce.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Záruční listy od dodaných samostatných komponentů zástavby.</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Návod pro odstranění základních závad zástavby v českém jazyce.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Proškolení pověřených zástupců zadavatele (2 osob) v ovládání a údržbě dodaného vozidla. Proškolení bude provedeno v sídle zadavatele.</w:t>
            </w:r>
          </w:p>
        </w:tc>
        <w:tc>
          <w:tcPr>
            <w:tcW w:w="3226" w:type="dxa"/>
            <w:shd w:val="clear" w:color="auto" w:fill="FFFFCC"/>
          </w:tcPr>
          <w:p w:rsidR="00604BE6" w:rsidRPr="00604BE6" w:rsidRDefault="00604BE6" w:rsidP="00604BE6">
            <w:pPr>
              <w:rPr>
                <w:sz w:val="20"/>
              </w:rPr>
            </w:pPr>
          </w:p>
        </w:tc>
      </w:tr>
      <w:tr w:rsidR="00604BE6" w:rsidRPr="00604BE6" w:rsidTr="00604BE6">
        <w:tc>
          <w:tcPr>
            <w:tcW w:w="7088" w:type="dxa"/>
          </w:tcPr>
          <w:p w:rsidR="00604BE6" w:rsidRPr="00604BE6" w:rsidRDefault="00604BE6" w:rsidP="00604BE6">
            <w:pPr>
              <w:numPr>
                <w:ilvl w:val="0"/>
                <w:numId w:val="11"/>
              </w:numPr>
              <w:spacing w:after="160"/>
              <w:ind w:left="459" w:hanging="425"/>
              <w:contextualSpacing/>
              <w:rPr>
                <w:rFonts w:eastAsia="Calibri" w:cs="Arial"/>
                <w:sz w:val="20"/>
              </w:rPr>
            </w:pPr>
            <w:r w:rsidRPr="00604BE6">
              <w:rPr>
                <w:rFonts w:eastAsia="Calibri" w:cs="Arial"/>
                <w:sz w:val="20"/>
              </w:rPr>
              <w:t>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w:t>
            </w:r>
          </w:p>
        </w:tc>
        <w:tc>
          <w:tcPr>
            <w:tcW w:w="3226" w:type="dxa"/>
            <w:shd w:val="clear" w:color="auto" w:fill="FFFFCC"/>
          </w:tcPr>
          <w:p w:rsidR="00604BE6" w:rsidRPr="00604BE6" w:rsidRDefault="00604BE6" w:rsidP="00604BE6">
            <w:pPr>
              <w:rPr>
                <w:sz w:val="20"/>
              </w:rPr>
            </w:pPr>
          </w:p>
        </w:tc>
      </w:tr>
    </w:tbl>
    <w:p w:rsidR="00296205" w:rsidRPr="00604BE6" w:rsidRDefault="00296205" w:rsidP="00604BE6">
      <w:pPr>
        <w:spacing w:after="160"/>
        <w:contextualSpacing/>
        <w:rPr>
          <w:rFonts w:eastAsia="Calibri" w:cs="Arial"/>
          <w:sz w:val="20"/>
        </w:rPr>
      </w:pPr>
    </w:p>
    <w:sectPr w:rsidR="00296205" w:rsidRPr="00604BE6" w:rsidSect="00604BE6">
      <w:headerReference w:type="default" r:id="rId9"/>
      <w:footerReference w:type="default" r:id="rId10"/>
      <w:pgSz w:w="11906" w:h="16838"/>
      <w:pgMar w:top="1418" w:right="851" w:bottom="1134" w:left="85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877" w:rsidRDefault="000B5877" w:rsidP="004F7929">
      <w:pPr>
        <w:spacing w:after="0" w:line="240" w:lineRule="auto"/>
      </w:pPr>
      <w:r>
        <w:separator/>
      </w:r>
    </w:p>
  </w:endnote>
  <w:endnote w:type="continuationSeparator" w:id="0">
    <w:p w:rsidR="000B5877" w:rsidRDefault="000B5877" w:rsidP="004F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929" w:rsidRDefault="00247FB3" w:rsidP="00604BE6">
    <w:pPr>
      <w:pStyle w:val="Zpat"/>
      <w:jc w:val="right"/>
    </w:pPr>
    <w:r>
      <w:t xml:space="preserve">Strana </w:t>
    </w:r>
    <w:sdt>
      <w:sdtPr>
        <w:id w:val="-1847016273"/>
        <w:docPartObj>
          <w:docPartGallery w:val="Page Numbers (Bottom of Page)"/>
          <w:docPartUnique/>
        </w:docPartObj>
      </w:sdtPr>
      <w:sdtEndPr/>
      <w:sdtContent>
        <w:r>
          <w:fldChar w:fldCharType="begin"/>
        </w:r>
        <w:r>
          <w:instrText>PAGE   \* MERGEFORMAT</w:instrText>
        </w:r>
        <w:r>
          <w:fldChar w:fldCharType="separate"/>
        </w:r>
        <w:r w:rsidR="00604BE6">
          <w:rPr>
            <w:noProof/>
          </w:rPr>
          <w:t>4</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877" w:rsidRDefault="000B5877" w:rsidP="004F7929">
      <w:pPr>
        <w:spacing w:after="0" w:line="240" w:lineRule="auto"/>
      </w:pPr>
      <w:r>
        <w:separator/>
      </w:r>
    </w:p>
  </w:footnote>
  <w:footnote w:type="continuationSeparator" w:id="0">
    <w:p w:rsidR="000B5877" w:rsidRDefault="000B5877" w:rsidP="004F79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929" w:rsidRDefault="004F7929">
    <w:pPr>
      <w:pStyle w:val="Zhlav"/>
    </w:pPr>
    <w:r>
      <w:t xml:space="preserve">Technická specifikace </w:t>
    </w:r>
    <w:r w:rsidR="00573E9A">
      <w:t>technické vozidlo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6DB"/>
    <w:multiLevelType w:val="hybridMultilevel"/>
    <w:tmpl w:val="31E6A1FE"/>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9A356E"/>
    <w:multiLevelType w:val="hybridMultilevel"/>
    <w:tmpl w:val="948068C4"/>
    <w:lvl w:ilvl="0" w:tplc="10EA589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1AD0683"/>
    <w:multiLevelType w:val="hybridMultilevel"/>
    <w:tmpl w:val="CC824D66"/>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E747789"/>
    <w:multiLevelType w:val="hybridMultilevel"/>
    <w:tmpl w:val="6298C6F0"/>
    <w:lvl w:ilvl="0" w:tplc="10EA589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8B97CD1"/>
    <w:multiLevelType w:val="hybridMultilevel"/>
    <w:tmpl w:val="60006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8C96EAC"/>
    <w:multiLevelType w:val="hybridMultilevel"/>
    <w:tmpl w:val="8A2E75F0"/>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6C5838D5"/>
    <w:multiLevelType w:val="hybridMultilevel"/>
    <w:tmpl w:val="026AF926"/>
    <w:lvl w:ilvl="0" w:tplc="4CB0751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02E54A1"/>
    <w:multiLevelType w:val="hybridMultilevel"/>
    <w:tmpl w:val="CD5A87B2"/>
    <w:lvl w:ilvl="0" w:tplc="40C88A90">
      <w:start w:val="1"/>
      <w:numFmt w:val="decimal"/>
      <w:lvlText w:val="%1."/>
      <w:lvlJc w:val="left"/>
      <w:pPr>
        <w:ind w:left="420" w:hanging="360"/>
      </w:pPr>
      <w:rPr>
        <w:rFonts w:ascii="Arial" w:eastAsia="Calibri" w:hAnsi="Arial" w:cs="Arial"/>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0">
    <w:nsid w:val="78094305"/>
    <w:multiLevelType w:val="hybridMultilevel"/>
    <w:tmpl w:val="3DC07F70"/>
    <w:lvl w:ilvl="0" w:tplc="D81C3BCA">
      <w:numFmt w:val="bullet"/>
      <w:lvlText w:val="-"/>
      <w:lvlJc w:val="left"/>
      <w:pPr>
        <w:ind w:left="780" w:hanging="360"/>
      </w:pPr>
      <w:rPr>
        <w:rFonts w:ascii="Arial" w:eastAsiaTheme="minorHAns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6"/>
  </w:num>
  <w:num w:numId="2">
    <w:abstractNumId w:val="8"/>
  </w:num>
  <w:num w:numId="3">
    <w:abstractNumId w:val="5"/>
  </w:num>
  <w:num w:numId="4">
    <w:abstractNumId w:val="1"/>
  </w:num>
  <w:num w:numId="5">
    <w:abstractNumId w:val="0"/>
  </w:num>
  <w:num w:numId="6">
    <w:abstractNumId w:val="10"/>
  </w:num>
  <w:num w:numId="7">
    <w:abstractNumId w:val="4"/>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77B"/>
    <w:rsid w:val="000107CE"/>
    <w:rsid w:val="0004316B"/>
    <w:rsid w:val="00070FE2"/>
    <w:rsid w:val="00073573"/>
    <w:rsid w:val="00086D35"/>
    <w:rsid w:val="000A21D4"/>
    <w:rsid w:val="000B136A"/>
    <w:rsid w:val="000B5877"/>
    <w:rsid w:val="000C1EFE"/>
    <w:rsid w:val="000D3DE5"/>
    <w:rsid w:val="000D48EA"/>
    <w:rsid w:val="000F7DE2"/>
    <w:rsid w:val="00106E46"/>
    <w:rsid w:val="00115CD7"/>
    <w:rsid w:val="00116D11"/>
    <w:rsid w:val="0012136C"/>
    <w:rsid w:val="001251A6"/>
    <w:rsid w:val="00132D5D"/>
    <w:rsid w:val="00161FF9"/>
    <w:rsid w:val="00180307"/>
    <w:rsid w:val="0019551C"/>
    <w:rsid w:val="001B177A"/>
    <w:rsid w:val="001B21A2"/>
    <w:rsid w:val="001C7120"/>
    <w:rsid w:val="00210B1F"/>
    <w:rsid w:val="0022162C"/>
    <w:rsid w:val="00222A4D"/>
    <w:rsid w:val="00235B04"/>
    <w:rsid w:val="00247FB3"/>
    <w:rsid w:val="002519E5"/>
    <w:rsid w:val="00252682"/>
    <w:rsid w:val="00283BD2"/>
    <w:rsid w:val="00294CF4"/>
    <w:rsid w:val="00296205"/>
    <w:rsid w:val="002A3360"/>
    <w:rsid w:val="002B7243"/>
    <w:rsid w:val="002D439E"/>
    <w:rsid w:val="002D46E3"/>
    <w:rsid w:val="002E13FB"/>
    <w:rsid w:val="002E5DC3"/>
    <w:rsid w:val="003358C2"/>
    <w:rsid w:val="00336E18"/>
    <w:rsid w:val="0034193E"/>
    <w:rsid w:val="0037518A"/>
    <w:rsid w:val="00382E54"/>
    <w:rsid w:val="00383B83"/>
    <w:rsid w:val="003979EB"/>
    <w:rsid w:val="003B24C2"/>
    <w:rsid w:val="003B686D"/>
    <w:rsid w:val="003E40C1"/>
    <w:rsid w:val="004074F6"/>
    <w:rsid w:val="004111A5"/>
    <w:rsid w:val="00430F9A"/>
    <w:rsid w:val="00451B6D"/>
    <w:rsid w:val="00466238"/>
    <w:rsid w:val="00471910"/>
    <w:rsid w:val="004779E9"/>
    <w:rsid w:val="00480CF2"/>
    <w:rsid w:val="00482CB4"/>
    <w:rsid w:val="0048363A"/>
    <w:rsid w:val="004A0E58"/>
    <w:rsid w:val="004A0E62"/>
    <w:rsid w:val="004B0309"/>
    <w:rsid w:val="004B527B"/>
    <w:rsid w:val="004B52A9"/>
    <w:rsid w:val="004E646F"/>
    <w:rsid w:val="004F103D"/>
    <w:rsid w:val="004F7929"/>
    <w:rsid w:val="005163BC"/>
    <w:rsid w:val="005178E8"/>
    <w:rsid w:val="005328AB"/>
    <w:rsid w:val="00533CCB"/>
    <w:rsid w:val="005374FB"/>
    <w:rsid w:val="00540548"/>
    <w:rsid w:val="0055707C"/>
    <w:rsid w:val="0056477B"/>
    <w:rsid w:val="00573E9A"/>
    <w:rsid w:val="0059568B"/>
    <w:rsid w:val="005A4C9B"/>
    <w:rsid w:val="005B40C4"/>
    <w:rsid w:val="005C4431"/>
    <w:rsid w:val="006007B8"/>
    <w:rsid w:val="00604BE6"/>
    <w:rsid w:val="00612759"/>
    <w:rsid w:val="00613D28"/>
    <w:rsid w:val="00644297"/>
    <w:rsid w:val="006541D7"/>
    <w:rsid w:val="00667758"/>
    <w:rsid w:val="00681F6F"/>
    <w:rsid w:val="006839F1"/>
    <w:rsid w:val="00687931"/>
    <w:rsid w:val="006A07D5"/>
    <w:rsid w:val="00702667"/>
    <w:rsid w:val="00726B7D"/>
    <w:rsid w:val="00765E22"/>
    <w:rsid w:val="00782BC8"/>
    <w:rsid w:val="0078666B"/>
    <w:rsid w:val="00786E81"/>
    <w:rsid w:val="007C1D97"/>
    <w:rsid w:val="007D39A1"/>
    <w:rsid w:val="007E46E0"/>
    <w:rsid w:val="00843776"/>
    <w:rsid w:val="00846779"/>
    <w:rsid w:val="00857757"/>
    <w:rsid w:val="008613ED"/>
    <w:rsid w:val="00882EF0"/>
    <w:rsid w:val="0089055D"/>
    <w:rsid w:val="0089154E"/>
    <w:rsid w:val="00893110"/>
    <w:rsid w:val="00894711"/>
    <w:rsid w:val="008A52B2"/>
    <w:rsid w:val="008D2735"/>
    <w:rsid w:val="008D30EA"/>
    <w:rsid w:val="008F1310"/>
    <w:rsid w:val="009047F3"/>
    <w:rsid w:val="00911D84"/>
    <w:rsid w:val="00916D8F"/>
    <w:rsid w:val="00916F36"/>
    <w:rsid w:val="0091746C"/>
    <w:rsid w:val="00936078"/>
    <w:rsid w:val="009568BA"/>
    <w:rsid w:val="00964DCF"/>
    <w:rsid w:val="009A2521"/>
    <w:rsid w:val="009D6193"/>
    <w:rsid w:val="009E2941"/>
    <w:rsid w:val="009F0BDB"/>
    <w:rsid w:val="00A17E0C"/>
    <w:rsid w:val="00A43F5C"/>
    <w:rsid w:val="00A507AF"/>
    <w:rsid w:val="00A56816"/>
    <w:rsid w:val="00A919C5"/>
    <w:rsid w:val="00A93F9B"/>
    <w:rsid w:val="00A955A5"/>
    <w:rsid w:val="00AA029F"/>
    <w:rsid w:val="00AE4CA7"/>
    <w:rsid w:val="00AE70D3"/>
    <w:rsid w:val="00AF3E19"/>
    <w:rsid w:val="00B162BD"/>
    <w:rsid w:val="00B27996"/>
    <w:rsid w:val="00B438F7"/>
    <w:rsid w:val="00B534EE"/>
    <w:rsid w:val="00B73016"/>
    <w:rsid w:val="00B80427"/>
    <w:rsid w:val="00B9213E"/>
    <w:rsid w:val="00B971D2"/>
    <w:rsid w:val="00BA038A"/>
    <w:rsid w:val="00BB3EBA"/>
    <w:rsid w:val="00BB73A3"/>
    <w:rsid w:val="00BD5CD0"/>
    <w:rsid w:val="00BE1CC5"/>
    <w:rsid w:val="00BF244F"/>
    <w:rsid w:val="00BF706E"/>
    <w:rsid w:val="00C10F75"/>
    <w:rsid w:val="00C3543C"/>
    <w:rsid w:val="00C55CCA"/>
    <w:rsid w:val="00C56777"/>
    <w:rsid w:val="00C57164"/>
    <w:rsid w:val="00C9362E"/>
    <w:rsid w:val="00CC23CB"/>
    <w:rsid w:val="00CD04BB"/>
    <w:rsid w:val="00D025E4"/>
    <w:rsid w:val="00D14652"/>
    <w:rsid w:val="00D16AD6"/>
    <w:rsid w:val="00D27CE6"/>
    <w:rsid w:val="00D31394"/>
    <w:rsid w:val="00D42925"/>
    <w:rsid w:val="00D62C4E"/>
    <w:rsid w:val="00D66B4A"/>
    <w:rsid w:val="00D807BE"/>
    <w:rsid w:val="00DB4535"/>
    <w:rsid w:val="00DB5890"/>
    <w:rsid w:val="00E01A99"/>
    <w:rsid w:val="00E05E77"/>
    <w:rsid w:val="00E1278B"/>
    <w:rsid w:val="00E1598E"/>
    <w:rsid w:val="00E25D08"/>
    <w:rsid w:val="00E369D3"/>
    <w:rsid w:val="00E36ABD"/>
    <w:rsid w:val="00E604C2"/>
    <w:rsid w:val="00E61FE3"/>
    <w:rsid w:val="00E81170"/>
    <w:rsid w:val="00E81EF9"/>
    <w:rsid w:val="00E90260"/>
    <w:rsid w:val="00EA0FAC"/>
    <w:rsid w:val="00EB20AF"/>
    <w:rsid w:val="00EB6BD3"/>
    <w:rsid w:val="00EF04D4"/>
    <w:rsid w:val="00EF3B1B"/>
    <w:rsid w:val="00EF5983"/>
    <w:rsid w:val="00F0400B"/>
    <w:rsid w:val="00F109EC"/>
    <w:rsid w:val="00F22426"/>
    <w:rsid w:val="00F45945"/>
    <w:rsid w:val="00F73134"/>
    <w:rsid w:val="00F73EC0"/>
    <w:rsid w:val="00F91A84"/>
    <w:rsid w:val="00FA3B58"/>
    <w:rsid w:val="00FE0928"/>
    <w:rsid w:val="00FF66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uiPriority w:val="9"/>
    <w:qFormat/>
    <w:rsid w:val="00604BE6"/>
    <w:pPr>
      <w:outlineLvl w:val="0"/>
    </w:pPr>
    <w:rPr>
      <w:sz w:val="32"/>
    </w:rPr>
  </w:style>
  <w:style w:type="paragraph" w:styleId="Nadpis2">
    <w:name w:val="heading 2"/>
    <w:basedOn w:val="Normln"/>
    <w:next w:val="Normln"/>
    <w:link w:val="Nadpis2Char"/>
    <w:uiPriority w:val="9"/>
    <w:unhideWhenUsed/>
    <w:qFormat/>
    <w:rsid w:val="00604BE6"/>
    <w:pPr>
      <w:keepNext/>
      <w:spacing w:before="240" w:after="120"/>
      <w:jc w:val="center"/>
      <w:outlineLvl w:val="1"/>
    </w:pPr>
    <w:rPr>
      <w:rFonts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77B"/>
    <w:pPr>
      <w:ind w:left="720"/>
      <w:contextualSpacing/>
    </w:pPr>
  </w:style>
  <w:style w:type="paragraph" w:styleId="Textbubliny">
    <w:name w:val="Balloon Text"/>
    <w:basedOn w:val="Normln"/>
    <w:link w:val="TextbublinyChar"/>
    <w:uiPriority w:val="99"/>
    <w:semiHidden/>
    <w:unhideWhenUsed/>
    <w:rsid w:val="006007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007B8"/>
    <w:rPr>
      <w:rFonts w:ascii="Tahoma" w:hAnsi="Tahoma" w:cs="Tahoma"/>
      <w:sz w:val="16"/>
      <w:szCs w:val="16"/>
    </w:rPr>
  </w:style>
  <w:style w:type="character" w:customStyle="1" w:styleId="Nadpis1Char">
    <w:name w:val="Nadpis 1 Char"/>
    <w:basedOn w:val="Standardnpsmoodstavce"/>
    <w:link w:val="Nadpis1"/>
    <w:uiPriority w:val="9"/>
    <w:rsid w:val="00604BE6"/>
    <w:rPr>
      <w:rFonts w:cs="Arial"/>
      <w:b/>
      <w:sz w:val="32"/>
      <w:szCs w:val="28"/>
    </w:rPr>
  </w:style>
  <w:style w:type="paragraph" w:styleId="Zhlav">
    <w:name w:val="header"/>
    <w:basedOn w:val="Normln"/>
    <w:link w:val="ZhlavChar"/>
    <w:uiPriority w:val="99"/>
    <w:unhideWhenUsed/>
    <w:rsid w:val="004F79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7929"/>
  </w:style>
  <w:style w:type="paragraph" w:styleId="Zpat">
    <w:name w:val="footer"/>
    <w:basedOn w:val="Normln"/>
    <w:link w:val="ZpatChar"/>
    <w:uiPriority w:val="99"/>
    <w:unhideWhenUsed/>
    <w:rsid w:val="004F79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F7929"/>
  </w:style>
  <w:style w:type="table" w:styleId="Mkatabulky">
    <w:name w:val="Table Grid"/>
    <w:basedOn w:val="Normlntabulka"/>
    <w:uiPriority w:val="59"/>
    <w:rsid w:val="00604B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04BE6"/>
    <w:rPr>
      <w:rFonts w:cs="Arial"/>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adpis2"/>
    <w:next w:val="Normln"/>
    <w:link w:val="Nadpis1Char"/>
    <w:uiPriority w:val="9"/>
    <w:qFormat/>
    <w:rsid w:val="00604BE6"/>
    <w:pPr>
      <w:outlineLvl w:val="0"/>
    </w:pPr>
    <w:rPr>
      <w:sz w:val="32"/>
    </w:rPr>
  </w:style>
  <w:style w:type="paragraph" w:styleId="Nadpis2">
    <w:name w:val="heading 2"/>
    <w:basedOn w:val="Normln"/>
    <w:next w:val="Normln"/>
    <w:link w:val="Nadpis2Char"/>
    <w:uiPriority w:val="9"/>
    <w:unhideWhenUsed/>
    <w:qFormat/>
    <w:rsid w:val="00604BE6"/>
    <w:pPr>
      <w:keepNext/>
      <w:spacing w:before="240" w:after="120"/>
      <w:jc w:val="center"/>
      <w:outlineLvl w:val="1"/>
    </w:pPr>
    <w:rPr>
      <w:rFonts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77B"/>
    <w:pPr>
      <w:ind w:left="720"/>
      <w:contextualSpacing/>
    </w:pPr>
  </w:style>
  <w:style w:type="paragraph" w:styleId="Textbubliny">
    <w:name w:val="Balloon Text"/>
    <w:basedOn w:val="Normln"/>
    <w:link w:val="TextbublinyChar"/>
    <w:uiPriority w:val="99"/>
    <w:semiHidden/>
    <w:unhideWhenUsed/>
    <w:rsid w:val="006007B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007B8"/>
    <w:rPr>
      <w:rFonts w:ascii="Tahoma" w:hAnsi="Tahoma" w:cs="Tahoma"/>
      <w:sz w:val="16"/>
      <w:szCs w:val="16"/>
    </w:rPr>
  </w:style>
  <w:style w:type="character" w:customStyle="1" w:styleId="Nadpis1Char">
    <w:name w:val="Nadpis 1 Char"/>
    <w:basedOn w:val="Standardnpsmoodstavce"/>
    <w:link w:val="Nadpis1"/>
    <w:uiPriority w:val="9"/>
    <w:rsid w:val="00604BE6"/>
    <w:rPr>
      <w:rFonts w:cs="Arial"/>
      <w:b/>
      <w:sz w:val="32"/>
      <w:szCs w:val="28"/>
    </w:rPr>
  </w:style>
  <w:style w:type="paragraph" w:styleId="Zhlav">
    <w:name w:val="header"/>
    <w:basedOn w:val="Normln"/>
    <w:link w:val="ZhlavChar"/>
    <w:uiPriority w:val="99"/>
    <w:unhideWhenUsed/>
    <w:rsid w:val="004F79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7929"/>
  </w:style>
  <w:style w:type="paragraph" w:styleId="Zpat">
    <w:name w:val="footer"/>
    <w:basedOn w:val="Normln"/>
    <w:link w:val="ZpatChar"/>
    <w:uiPriority w:val="99"/>
    <w:unhideWhenUsed/>
    <w:rsid w:val="004F79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F7929"/>
  </w:style>
  <w:style w:type="table" w:styleId="Mkatabulky">
    <w:name w:val="Table Grid"/>
    <w:basedOn w:val="Normlntabulka"/>
    <w:uiPriority w:val="59"/>
    <w:rsid w:val="00604B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04BE6"/>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97292">
      <w:bodyDiv w:val="1"/>
      <w:marLeft w:val="0"/>
      <w:marRight w:val="0"/>
      <w:marTop w:val="0"/>
      <w:marBottom w:val="0"/>
      <w:divBdr>
        <w:top w:val="none" w:sz="0" w:space="0" w:color="auto"/>
        <w:left w:val="none" w:sz="0" w:space="0" w:color="auto"/>
        <w:bottom w:val="none" w:sz="0" w:space="0" w:color="auto"/>
        <w:right w:val="none" w:sz="0" w:space="0" w:color="auto"/>
      </w:divBdr>
    </w:div>
    <w:div w:id="1122260329">
      <w:bodyDiv w:val="1"/>
      <w:marLeft w:val="0"/>
      <w:marRight w:val="0"/>
      <w:marTop w:val="0"/>
      <w:marBottom w:val="0"/>
      <w:divBdr>
        <w:top w:val="none" w:sz="0" w:space="0" w:color="auto"/>
        <w:left w:val="none" w:sz="0" w:space="0" w:color="auto"/>
        <w:bottom w:val="none" w:sz="0" w:space="0" w:color="auto"/>
        <w:right w:val="none" w:sz="0" w:space="0" w:color="auto"/>
      </w:divBdr>
    </w:div>
    <w:div w:id="115422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2CAD9-2D63-4892-863A-9C27B2DD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Pages>
  <Words>1441</Words>
  <Characters>8506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Ing. Petr Stehlík</cp:lastModifiedBy>
  <cp:revision>32</cp:revision>
  <cp:lastPrinted>2016-12-13T14:32:00Z</cp:lastPrinted>
  <dcterms:created xsi:type="dcterms:W3CDTF">2017-11-29T14:22:00Z</dcterms:created>
  <dcterms:modified xsi:type="dcterms:W3CDTF">2019-03-21T10:05:00Z</dcterms:modified>
</cp:coreProperties>
</file>