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Příloha č. 2</w:t>
      </w:r>
      <w:bookmarkStart w:id="0" w:name="_GoBack"/>
      <w:bookmarkEnd w:id="0"/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Předmětem je dodávka zařízení pro možnost napojení na systém sledování vozů používaného od r. 2009 na ZZS 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centrální jednotka – obsahuje GPS jednotku, paměť pro uchovávání dat, anténu        společnou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navigační jednotku Garmin (řada 2500 a vyšší),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„Lifetime“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bilní s technologií, která je ZZS 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>
        <w:rPr>
          <w:rFonts w:ascii="Arial" w:eastAsia="Calibri" w:hAnsi="Arial" w:cs="Arial"/>
        </w:rPr>
        <w:t xml:space="preserve"> střediska ZZS PK</w:t>
      </w:r>
      <w:r w:rsidRPr="004074F6">
        <w:rPr>
          <w:rFonts w:ascii="Arial" w:eastAsia="Calibri" w:hAnsi="Arial" w:cs="Arial"/>
        </w:rPr>
        <w:t>, systém pro sledování vozů ZZS 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4736C9"/>
    <w:rsid w:val="0059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Ing. Petr Stehlík</cp:lastModifiedBy>
  <cp:revision>2</cp:revision>
  <dcterms:created xsi:type="dcterms:W3CDTF">2017-02-08T18:35:00Z</dcterms:created>
  <dcterms:modified xsi:type="dcterms:W3CDTF">2019-03-21T09:38:00Z</dcterms:modified>
</cp:coreProperties>
</file>