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D5" w:rsidRPr="002A7009" w:rsidRDefault="00847BD5" w:rsidP="00425B9B">
      <w:pPr>
        <w:pStyle w:val="Nzev"/>
        <w:spacing w:before="120" w:after="120"/>
      </w:pPr>
      <w:r w:rsidRPr="002A7009">
        <w:t>Kupní smlouva</w:t>
      </w:r>
    </w:p>
    <w:p w:rsidR="00847BD5" w:rsidRPr="002A7009" w:rsidRDefault="00847BD5" w:rsidP="00D960DE">
      <w:pPr>
        <w:suppressAutoHyphens/>
        <w:spacing w:before="0"/>
        <w:jc w:val="center"/>
        <w:rPr>
          <w:b/>
          <w:bCs/>
          <w:lang w:eastAsia="cs-CZ"/>
        </w:rPr>
      </w:pPr>
      <w:r w:rsidRPr="002A7009">
        <w:rPr>
          <w:b/>
          <w:bCs/>
          <w:lang w:eastAsia="cs-CZ"/>
        </w:rPr>
        <w:t xml:space="preserve">uzavřená dle § </w:t>
      </w:r>
      <w:r w:rsidR="00C00A9B">
        <w:rPr>
          <w:b/>
          <w:bCs/>
          <w:lang w:eastAsia="cs-CZ"/>
        </w:rPr>
        <w:t>2079</w:t>
      </w:r>
      <w:r w:rsidRPr="002A7009">
        <w:rPr>
          <w:b/>
          <w:bCs/>
          <w:lang w:eastAsia="cs-CZ"/>
        </w:rPr>
        <w:t xml:space="preserve"> a následujících zákona č. </w:t>
      </w:r>
      <w:r w:rsidR="00C00A9B">
        <w:rPr>
          <w:b/>
          <w:bCs/>
          <w:lang w:eastAsia="cs-CZ"/>
        </w:rPr>
        <w:t>89/2012 Sb., občanského zákoníku (dále „NOZ“)</w:t>
      </w:r>
    </w:p>
    <w:p w:rsidR="00847BD5" w:rsidRPr="002A7009" w:rsidRDefault="00847BD5" w:rsidP="0027308F">
      <w:pPr>
        <w:pStyle w:val="Nadpis1"/>
      </w:pPr>
      <w:r w:rsidRPr="00425B9B">
        <w:t>Smluvní</w:t>
      </w:r>
      <w:r w:rsidRPr="002A7009">
        <w:t xml:space="preserve"> strany</w:t>
      </w:r>
    </w:p>
    <w:p w:rsidR="00847BD5" w:rsidRPr="002A7009" w:rsidRDefault="00847BD5" w:rsidP="00983B5D">
      <w:pPr>
        <w:pStyle w:val="Nadpis2"/>
        <w:rPr>
          <w:lang w:eastAsia="cs-CZ"/>
        </w:rPr>
      </w:pPr>
      <w:r w:rsidRPr="002A7009">
        <w:rPr>
          <w:lang w:eastAsia="cs-CZ"/>
        </w:rPr>
        <w:t>Prodávající: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8399"/>
      </w:tblGrid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>Prodávající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b/>
                <w:bCs/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7B2023" w:rsidRPr="00446BDD" w:rsidTr="00DD3D8C">
        <w:tc>
          <w:tcPr>
            <w:tcW w:w="1915" w:type="dxa"/>
            <w:vAlign w:val="center"/>
          </w:tcPr>
          <w:p w:rsidR="007B2023" w:rsidRPr="00446BDD" w:rsidRDefault="00DD3D8C" w:rsidP="00DD3D8C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7B2023" w:rsidRPr="00446BDD">
              <w:rPr>
                <w:lang w:eastAsia="cs-CZ"/>
              </w:rPr>
              <w:t>aps</w:t>
            </w:r>
            <w:r>
              <w:rPr>
                <w:lang w:eastAsia="cs-CZ"/>
              </w:rPr>
              <w:t>án</w:t>
            </w:r>
            <w:r w:rsidR="007B2023" w:rsidRPr="00446BDD">
              <w:rPr>
                <w:lang w:eastAsia="cs-CZ"/>
              </w:rPr>
              <w:t xml:space="preserve"> v:</w:t>
            </w:r>
            <w:r w:rsidR="007B2023" w:rsidRPr="00446BDD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8399" w:type="dxa"/>
            <w:vAlign w:val="center"/>
          </w:tcPr>
          <w:p w:rsidR="007B2023" w:rsidRPr="00446BDD" w:rsidRDefault="007B2023" w:rsidP="00D53740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Sídlo: 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Statutární orgán: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DA447D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C00A9B" w:rsidRPr="00446BDD" w:rsidTr="00DD3D8C">
        <w:tc>
          <w:tcPr>
            <w:tcW w:w="1915" w:type="dxa"/>
            <w:vAlign w:val="center"/>
          </w:tcPr>
          <w:p w:rsidR="00C00A9B" w:rsidRPr="00446BDD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399" w:type="dxa"/>
            <w:vAlign w:val="center"/>
          </w:tcPr>
          <w:p w:rsidR="00C00A9B" w:rsidRPr="00446BDD" w:rsidRDefault="00C00A9B" w:rsidP="002A7009">
            <w:pPr>
              <w:suppressAutoHyphens/>
              <w:spacing w:before="0" w:after="0"/>
              <w:rPr>
                <w:b/>
                <w:bCs/>
                <w:color w:val="FF0000"/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8399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„Prodávající“</w:t>
      </w:r>
    </w:p>
    <w:p w:rsidR="00847BD5" w:rsidRPr="002A7009" w:rsidRDefault="00847BD5" w:rsidP="00983B5D">
      <w:pPr>
        <w:pStyle w:val="Nadpis2"/>
        <w:rPr>
          <w:lang w:eastAsia="cs-CZ"/>
        </w:rPr>
      </w:pPr>
      <w:r w:rsidRPr="002A7009">
        <w:rPr>
          <w:lang w:eastAsia="cs-CZ"/>
        </w:rPr>
        <w:t>Kupující: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8399"/>
      </w:tblGrid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b/>
                <w:bCs/>
                <w:lang w:eastAsia="cs-CZ"/>
              </w:rPr>
            </w:pPr>
            <w:r w:rsidRPr="00446BDD">
              <w:rPr>
                <w:lang w:eastAsia="cs-CZ"/>
              </w:rPr>
              <w:t>Kupující</w:t>
            </w:r>
            <w:r w:rsidRPr="00446BDD">
              <w:rPr>
                <w:b/>
                <w:bCs/>
                <w:lang w:eastAsia="cs-CZ"/>
              </w:rPr>
              <w:t>:</w:t>
            </w:r>
          </w:p>
        </w:tc>
        <w:tc>
          <w:tcPr>
            <w:tcW w:w="8399" w:type="dxa"/>
            <w:vAlign w:val="center"/>
          </w:tcPr>
          <w:p w:rsidR="00847BD5" w:rsidRPr="00C47924" w:rsidRDefault="00DA281B" w:rsidP="001609C5">
            <w:pPr>
              <w:spacing w:before="20" w:after="20" w:line="240" w:lineRule="auto"/>
              <w:jc w:val="left"/>
              <w:rPr>
                <w:b/>
                <w:bCs/>
                <w:lang w:eastAsia="cs-CZ"/>
              </w:rPr>
            </w:pPr>
            <w:r w:rsidRPr="00DA281B">
              <w:rPr>
                <w:b/>
                <w:bCs/>
              </w:rPr>
              <w:t>Střední odborná škola a Střední odborné učiliště, Horšovský Týn, Littrowa 122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Sídlo:</w:t>
            </w:r>
          </w:p>
        </w:tc>
        <w:tc>
          <w:tcPr>
            <w:tcW w:w="8399" w:type="dxa"/>
            <w:vAlign w:val="center"/>
          </w:tcPr>
          <w:p w:rsidR="00847BD5" w:rsidRPr="00C47924" w:rsidRDefault="00DA281B" w:rsidP="001609C5">
            <w:pPr>
              <w:spacing w:before="20" w:after="20" w:line="240" w:lineRule="auto"/>
              <w:jc w:val="left"/>
              <w:rPr>
                <w:lang w:eastAsia="cs-CZ"/>
              </w:rPr>
            </w:pPr>
            <w:r w:rsidRPr="00DA281B">
              <w:t>Jana Littrowa 122, VELKÉ PŘEDMĚSTÍ, 346 01 HORŠOVSKÝ TÝN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Jednající: </w:t>
            </w:r>
          </w:p>
        </w:tc>
        <w:tc>
          <w:tcPr>
            <w:tcW w:w="8399" w:type="dxa"/>
            <w:vAlign w:val="center"/>
          </w:tcPr>
          <w:p w:rsidR="00847BD5" w:rsidRPr="00C47924" w:rsidRDefault="00DA281B" w:rsidP="004F6E90">
            <w:pPr>
              <w:spacing w:before="20" w:after="20" w:line="240" w:lineRule="auto"/>
              <w:jc w:val="left"/>
              <w:rPr>
                <w:lang w:eastAsia="cs-CZ"/>
              </w:rPr>
            </w:pPr>
            <w:r w:rsidRPr="00DA281B">
              <w:rPr>
                <w:lang w:eastAsia="cs-CZ"/>
              </w:rPr>
              <w:t>Ing. Miluše Fousová, ředitelka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IČ</w:t>
            </w:r>
            <w:r w:rsidR="00DA447D">
              <w:rPr>
                <w:lang w:eastAsia="cs-CZ"/>
              </w:rPr>
              <w:t>O</w:t>
            </w:r>
            <w:r w:rsidRPr="00446BDD">
              <w:rPr>
                <w:lang w:eastAsia="cs-CZ"/>
              </w:rPr>
              <w:t xml:space="preserve"> / DIČ: </w:t>
            </w:r>
          </w:p>
        </w:tc>
        <w:tc>
          <w:tcPr>
            <w:tcW w:w="8399" w:type="dxa"/>
            <w:vAlign w:val="center"/>
          </w:tcPr>
          <w:p w:rsidR="00847BD5" w:rsidRPr="00446BDD" w:rsidRDefault="00DA281B" w:rsidP="002A7009">
            <w:pPr>
              <w:suppressAutoHyphens/>
              <w:spacing w:before="0" w:after="0"/>
              <w:rPr>
                <w:lang w:eastAsia="cs-CZ"/>
              </w:rPr>
            </w:pPr>
            <w:r w:rsidRPr="00DA281B">
              <w:t>00376469</w:t>
            </w:r>
            <w:r w:rsidR="00847BD5" w:rsidRPr="00446BDD">
              <w:t xml:space="preserve"> / CZ</w:t>
            </w:r>
            <w:r w:rsidRPr="00DA281B">
              <w:t>00376469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>Bankovní spojení:</w:t>
            </w:r>
          </w:p>
        </w:tc>
        <w:tc>
          <w:tcPr>
            <w:tcW w:w="8399" w:type="dxa"/>
            <w:vAlign w:val="center"/>
          </w:tcPr>
          <w:p w:rsidR="00847BD5" w:rsidRPr="00446BDD" w:rsidRDefault="00DA281B" w:rsidP="00BB6C91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Komerční banka</w:t>
            </w:r>
            <w:r w:rsidR="00BB6C91">
              <w:rPr>
                <w:lang w:eastAsia="cs-CZ"/>
              </w:rPr>
              <w:t xml:space="preserve"> a.s.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Číslo účtu: </w:t>
            </w:r>
          </w:p>
        </w:tc>
        <w:tc>
          <w:tcPr>
            <w:tcW w:w="8399" w:type="dxa"/>
            <w:vAlign w:val="center"/>
          </w:tcPr>
          <w:p w:rsidR="00847BD5" w:rsidRPr="00446BDD" w:rsidRDefault="00DA281B" w:rsidP="002A7009">
            <w:pPr>
              <w:suppressAutoHyphens/>
              <w:spacing w:before="0" w:after="0"/>
              <w:rPr>
                <w:lang w:eastAsia="cs-CZ"/>
              </w:rPr>
            </w:pPr>
            <w:r w:rsidRPr="00DA281B">
              <w:rPr>
                <w:lang w:eastAsia="cs-CZ"/>
              </w:rPr>
              <w:t>8434321</w:t>
            </w:r>
            <w:r>
              <w:rPr>
                <w:lang w:eastAsia="cs-CZ"/>
              </w:rPr>
              <w:t xml:space="preserve"> </w:t>
            </w:r>
            <w:r w:rsidRPr="00DA281B">
              <w:rPr>
                <w:lang w:eastAsia="cs-CZ"/>
              </w:rPr>
              <w:t>/0100</w:t>
            </w:r>
          </w:p>
        </w:tc>
      </w:tr>
      <w:tr w:rsidR="00C00A9B" w:rsidRPr="00446BDD" w:rsidTr="00DD3D8C">
        <w:tc>
          <w:tcPr>
            <w:tcW w:w="1915" w:type="dxa"/>
            <w:vAlign w:val="center"/>
          </w:tcPr>
          <w:p w:rsidR="00C00A9B" w:rsidRPr="00446BDD" w:rsidRDefault="00C00A9B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Kontaktní osoba:</w:t>
            </w:r>
          </w:p>
        </w:tc>
        <w:tc>
          <w:tcPr>
            <w:tcW w:w="8399" w:type="dxa"/>
            <w:vAlign w:val="center"/>
          </w:tcPr>
          <w:p w:rsidR="00C00A9B" w:rsidRDefault="00144EFA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=bude doplněno před podpisem smlouvy=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847BD5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 w:rsidRPr="00446BDD">
              <w:rPr>
                <w:lang w:eastAsia="cs-CZ"/>
              </w:rPr>
              <w:t xml:space="preserve">Tel.: </w:t>
            </w:r>
          </w:p>
        </w:tc>
        <w:tc>
          <w:tcPr>
            <w:tcW w:w="8399" w:type="dxa"/>
            <w:vAlign w:val="center"/>
          </w:tcPr>
          <w:p w:rsidR="00DA447D" w:rsidRPr="00446BDD" w:rsidRDefault="00144EFA" w:rsidP="002A7009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=bude doplněno před podpisem smlouvy=</w:t>
            </w:r>
          </w:p>
        </w:tc>
      </w:tr>
      <w:tr w:rsidR="00847BD5" w:rsidRPr="00446BDD" w:rsidTr="00DD3D8C">
        <w:tc>
          <w:tcPr>
            <w:tcW w:w="1915" w:type="dxa"/>
            <w:vAlign w:val="center"/>
          </w:tcPr>
          <w:p w:rsidR="00847BD5" w:rsidRPr="00446BDD" w:rsidRDefault="00BB6C91" w:rsidP="002A7009">
            <w:pPr>
              <w:suppressAutoHyphens/>
              <w:spacing w:before="0" w:after="0"/>
              <w:outlineLvl w:val="0"/>
              <w:rPr>
                <w:lang w:eastAsia="cs-CZ"/>
              </w:rPr>
            </w:pPr>
            <w:r>
              <w:rPr>
                <w:lang w:eastAsia="cs-CZ"/>
              </w:rPr>
              <w:t>E</w:t>
            </w:r>
            <w:r w:rsidR="00847BD5" w:rsidRPr="00446BDD">
              <w:rPr>
                <w:lang w:eastAsia="cs-CZ"/>
              </w:rPr>
              <w:t>mail:</w:t>
            </w:r>
          </w:p>
        </w:tc>
        <w:tc>
          <w:tcPr>
            <w:tcW w:w="8399" w:type="dxa"/>
            <w:vAlign w:val="center"/>
          </w:tcPr>
          <w:p w:rsidR="00847BD5" w:rsidRPr="00446BDD" w:rsidRDefault="00144EFA" w:rsidP="00DA447D">
            <w:pPr>
              <w:suppressAutoHyphens/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=bude doplněno před podpisem smlouvy=</w:t>
            </w:r>
          </w:p>
        </w:tc>
      </w:tr>
    </w:tbl>
    <w:p w:rsidR="00847BD5" w:rsidRPr="002A7009" w:rsidRDefault="00847BD5" w:rsidP="002A7009">
      <w:pPr>
        <w:suppressAutoHyphens/>
        <w:spacing w:before="0" w:after="0"/>
        <w:rPr>
          <w:lang w:eastAsia="cs-CZ"/>
        </w:rPr>
      </w:pPr>
      <w:r w:rsidRPr="002A7009">
        <w:rPr>
          <w:lang w:eastAsia="cs-CZ"/>
        </w:rPr>
        <w:t>dále jen „Kupující“</w:t>
      </w:r>
    </w:p>
    <w:p w:rsidR="00847BD5" w:rsidRPr="0029718F" w:rsidRDefault="00847BD5" w:rsidP="0027308F">
      <w:pPr>
        <w:pStyle w:val="Nadpis1"/>
      </w:pPr>
      <w:r w:rsidRPr="0029718F">
        <w:t>Předmět smlouvy</w:t>
      </w:r>
    </w:p>
    <w:p w:rsidR="00847BD5" w:rsidRPr="007D5685" w:rsidRDefault="00847BD5" w:rsidP="00DA281B">
      <w:pPr>
        <w:pStyle w:val="Nadpis2"/>
      </w:pPr>
      <w:r w:rsidRPr="0029718F">
        <w:t xml:space="preserve">Předmětem této smlouvy je závazek prodávajícího </w:t>
      </w:r>
      <w:r w:rsidR="00914672" w:rsidRPr="00914672">
        <w:t xml:space="preserve">odevzdat </w:t>
      </w:r>
      <w:r w:rsidRPr="0029718F">
        <w:t>kupujícímu</w:t>
      </w:r>
      <w:r>
        <w:t>:</w:t>
      </w:r>
      <w:r w:rsidR="00DA281B" w:rsidRPr="00DA281B">
        <w:rPr>
          <w:rFonts w:cs="Arial"/>
          <w:sz w:val="20"/>
        </w:rPr>
        <w:t xml:space="preserve"> </w:t>
      </w:r>
      <w:r w:rsidR="00DA281B" w:rsidRPr="00DF48BD">
        <w:rPr>
          <w:rFonts w:cs="Arial"/>
          <w:sz w:val="20"/>
        </w:rPr>
        <w:t>dodávka automatického krmného systému</w:t>
      </w:r>
      <w:r w:rsidR="001F3146">
        <w:rPr>
          <w:rFonts w:cs="Arial"/>
          <w:sz w:val="20"/>
        </w:rPr>
        <w:t xml:space="preserve"> </w:t>
      </w:r>
      <w:r w:rsidR="001F3146" w:rsidRPr="00A47480">
        <w:rPr>
          <w:rFonts w:cs="Arial"/>
          <w:sz w:val="20"/>
        </w:rPr>
        <w:t>pro skot</w:t>
      </w:r>
      <w:r w:rsidR="00BF5171" w:rsidRPr="00A47480">
        <w:rPr>
          <w:rFonts w:cs="Arial"/>
          <w:sz w:val="20"/>
        </w:rPr>
        <w:t>.</w:t>
      </w:r>
      <w:r w:rsidR="00DA281B" w:rsidRPr="00DF48BD">
        <w:rPr>
          <w:rFonts w:cs="Arial"/>
          <w:sz w:val="20"/>
        </w:rPr>
        <w:t xml:space="preserve">  Systém musí umět flexibilně krmit různé produkční a reprodukční skupiny zvířat individuálně sestavenou krmnou dávkou. Proces krmení bude probíhat automaticky a cílem je zabezpečit krmení všech skupin zvířat ve stáji po dobu 2-3 </w:t>
      </w:r>
      <w:r w:rsidR="00DA281B">
        <w:rPr>
          <w:rFonts w:cs="Arial"/>
          <w:sz w:val="20"/>
        </w:rPr>
        <w:t>dnů bez nutnosti zásahů obsluhy</w:t>
      </w:r>
      <w:r w:rsidR="00DA281B" w:rsidRPr="007A4116">
        <w:rPr>
          <w:rFonts w:cs="Arial"/>
          <w:sz w:val="20"/>
        </w:rPr>
        <w:t xml:space="preserve">, vše dle specifikace uvedené zadavatelem, dle </w:t>
      </w:r>
      <w:r w:rsidR="00DA281B">
        <w:rPr>
          <w:rFonts w:cs="Arial"/>
          <w:sz w:val="20"/>
        </w:rPr>
        <w:t>Obecných podmínek</w:t>
      </w:r>
      <w:r w:rsidR="00DA281B" w:rsidRPr="007A4116">
        <w:rPr>
          <w:rFonts w:cs="Arial"/>
          <w:sz w:val="20"/>
        </w:rPr>
        <w:t xml:space="preserve"> </w:t>
      </w:r>
      <w:r w:rsidR="00DA281B" w:rsidRPr="007A4116">
        <w:rPr>
          <w:rFonts w:cs="Arial"/>
          <w:b/>
          <w:sz w:val="20"/>
        </w:rPr>
        <w:t>Příloha č. 1</w:t>
      </w:r>
      <w:r w:rsidR="00DA281B" w:rsidRPr="007A4116">
        <w:rPr>
          <w:rFonts w:cs="Arial"/>
          <w:sz w:val="20"/>
        </w:rPr>
        <w:t xml:space="preserve"> a </w:t>
      </w:r>
      <w:r w:rsidR="00DA281B">
        <w:rPr>
          <w:rFonts w:cs="Arial"/>
          <w:sz w:val="20"/>
        </w:rPr>
        <w:t>Technických podmínek</w:t>
      </w:r>
      <w:r w:rsidR="00DA281B" w:rsidRPr="007A4116">
        <w:rPr>
          <w:rFonts w:cs="Arial"/>
          <w:sz w:val="20"/>
        </w:rPr>
        <w:t xml:space="preserve"> </w:t>
      </w:r>
      <w:r w:rsidR="00DA281B" w:rsidRPr="007A4116">
        <w:rPr>
          <w:rFonts w:cs="Arial"/>
          <w:b/>
          <w:sz w:val="20"/>
        </w:rPr>
        <w:t>Příloha č. 2</w:t>
      </w:r>
      <w:r w:rsidR="00DA281B" w:rsidRPr="007A4116">
        <w:rPr>
          <w:rFonts w:cs="Arial"/>
          <w:sz w:val="20"/>
        </w:rPr>
        <w:t xml:space="preserve">, které jsou nedílnou součástí této </w:t>
      </w:r>
      <w:r w:rsidR="00DA281B">
        <w:rPr>
          <w:rFonts w:cs="Arial"/>
          <w:sz w:val="20"/>
        </w:rPr>
        <w:t>zadávací dokumentace</w:t>
      </w:r>
      <w:r w:rsidR="00DA281B" w:rsidRPr="007A4116">
        <w:rPr>
          <w:rFonts w:cs="Arial"/>
          <w:sz w:val="20"/>
        </w:rPr>
        <w:t xml:space="preserve">. </w:t>
      </w:r>
      <w:r w:rsidR="00DA281B" w:rsidRPr="00DF48BD">
        <w:rPr>
          <w:rFonts w:cs="Arial"/>
          <w:sz w:val="20"/>
        </w:rPr>
        <w:t>Dodavatel krmného systému musí zajistit záruční i pozáruční servis a cena za dodávku krmného systému bude zahrnovat také instalaci, asistenci při spouštění systému a odborné zaškolení pracovníků obsluhy.</w:t>
      </w:r>
      <w:r w:rsidR="00A87D83" w:rsidRPr="007D5685">
        <w:t xml:space="preserve"> </w:t>
      </w:r>
    </w:p>
    <w:p w:rsidR="002B756D" w:rsidRDefault="00847BD5" w:rsidP="00082BFD">
      <w:pPr>
        <w:pStyle w:val="Nadpis2"/>
      </w:pPr>
      <w:r w:rsidRPr="0029718F">
        <w:t xml:space="preserve">Smlouva se </w:t>
      </w:r>
      <w:r w:rsidR="00C00A9B">
        <w:t>uzavírá</w:t>
      </w:r>
      <w:r w:rsidRPr="0029718F">
        <w:t xml:space="preserve"> jako </w:t>
      </w:r>
      <w:r>
        <w:t xml:space="preserve">výsledek </w:t>
      </w:r>
      <w:r w:rsidRPr="0029718F">
        <w:t>veřejn</w:t>
      </w:r>
      <w:r>
        <w:t>é zakázky „</w:t>
      </w:r>
      <w:r w:rsidR="00082BFD" w:rsidRPr="00082BFD">
        <w:t>Automatický systém krmení</w:t>
      </w:r>
      <w:r w:rsidR="00FB4B85">
        <w:t>“</w:t>
      </w:r>
      <w:r w:rsidR="002B756D">
        <w:t xml:space="preserve"> </w:t>
      </w:r>
    </w:p>
    <w:p w:rsidR="00847BD5" w:rsidRDefault="00847BD5" w:rsidP="002B756D">
      <w:pPr>
        <w:pStyle w:val="Nadpis2"/>
      </w:pPr>
      <w:r w:rsidRPr="0029718F">
        <w:t xml:space="preserve">Specifikace předmětu plnění a podmínky této smlouvy vycházejí ze zadávacích podmínek kupujícího jako zadavatele </w:t>
      </w:r>
      <w:r w:rsidR="00A6312C">
        <w:t xml:space="preserve">výše uvedené </w:t>
      </w:r>
      <w:r w:rsidRPr="0029718F">
        <w:t xml:space="preserve">veřejné zakázky a nabídky prodávajícího jako </w:t>
      </w:r>
      <w:r>
        <w:t>v</w:t>
      </w:r>
      <w:r w:rsidR="00C00A9B">
        <w:t>ybraného</w:t>
      </w:r>
      <w:r>
        <w:t xml:space="preserve"> </w:t>
      </w:r>
      <w:r w:rsidR="00221FF9">
        <w:t>dodavatele</w:t>
      </w:r>
      <w:r w:rsidRPr="0029718F">
        <w:t xml:space="preserve"> v tomto zadávacím řízení. Ob</w:t>
      </w:r>
      <w:r>
        <w:t>ě</w:t>
      </w:r>
      <w:r w:rsidRPr="0029718F">
        <w:t xml:space="preserve"> </w:t>
      </w:r>
      <w:r w:rsidR="007A15AB">
        <w:t>smluvní strany prohlašují, ž</w:t>
      </w:r>
      <w:r w:rsidRPr="0029718F">
        <w:t>e zadávací dokumentaci kupujícího a nabídku prodávajícího podanou v zadávacím řízen</w:t>
      </w:r>
      <w:r w:rsidR="00C00A9B">
        <w:t>í</w:t>
      </w:r>
      <w:r w:rsidRPr="0029718F">
        <w:t xml:space="preserve"> mají k datu </w:t>
      </w:r>
      <w:r w:rsidR="00C00A9B">
        <w:t>uzavření</w:t>
      </w:r>
      <w:r w:rsidRPr="0029718F">
        <w:t xml:space="preserve"> této smlouvy k dispozici.</w:t>
      </w:r>
    </w:p>
    <w:p w:rsidR="00847BD5" w:rsidRDefault="00847BD5" w:rsidP="0027308F">
      <w:pPr>
        <w:pStyle w:val="Nadpis1"/>
      </w:pPr>
      <w:r>
        <w:lastRenderedPageBreak/>
        <w:t>Dodací podmínky</w:t>
      </w:r>
    </w:p>
    <w:p w:rsidR="00363D56" w:rsidRDefault="00847BD5" w:rsidP="00983B5D">
      <w:pPr>
        <w:pStyle w:val="Nadpis2"/>
      </w:pPr>
      <w:r>
        <w:t xml:space="preserve">Prodávající je povinen </w:t>
      </w:r>
      <w:r w:rsidR="00914672" w:rsidRPr="00914672">
        <w:t xml:space="preserve">odevzdat </w:t>
      </w:r>
      <w:r>
        <w:t xml:space="preserve">kupujícímu </w:t>
      </w:r>
      <w:r w:rsidR="00342D93">
        <w:t>předmět</w:t>
      </w:r>
      <w:r w:rsidR="0044518A">
        <w:t xml:space="preserve"> této smlouvy</w:t>
      </w:r>
      <w:r>
        <w:t xml:space="preserve"> v dodací lhůtě </w:t>
      </w:r>
      <w:r w:rsidR="00D027FF" w:rsidRPr="00D027FF">
        <w:t xml:space="preserve">nejpozději </w:t>
      </w:r>
      <w:r w:rsidRPr="00F8341A">
        <w:rPr>
          <w:b/>
        </w:rPr>
        <w:t>do</w:t>
      </w:r>
      <w:r w:rsidR="00D027FF" w:rsidRPr="00F8341A">
        <w:rPr>
          <w:b/>
        </w:rPr>
        <w:t xml:space="preserve"> </w:t>
      </w:r>
      <w:r w:rsidR="00DA447D" w:rsidRPr="00446BDD">
        <w:rPr>
          <w:b/>
          <w:bCs/>
          <w:color w:val="FF0000"/>
        </w:rPr>
        <w:t>DOPLNIT</w:t>
      </w:r>
      <w:r w:rsidR="00DA447D">
        <w:rPr>
          <w:bCs/>
          <w:color w:val="FF0000"/>
        </w:rPr>
        <w:t xml:space="preserve"> </w:t>
      </w:r>
      <w:r w:rsidR="00DA447D" w:rsidRPr="00DA447D">
        <w:t>kalendářních dnů od podpisu smlouvy oběma smluvními stranami</w:t>
      </w:r>
      <w:r w:rsidR="00DA447D">
        <w:t xml:space="preserve"> </w:t>
      </w:r>
      <w:r w:rsidR="00DA447D" w:rsidRPr="0032303A">
        <w:rPr>
          <w:i/>
        </w:rPr>
        <w:t xml:space="preserve">(pozn. zadavatele - max. dodací lhůta činí </w:t>
      </w:r>
      <w:r w:rsidR="00102DDA" w:rsidRPr="00960578">
        <w:rPr>
          <w:i/>
        </w:rPr>
        <w:t>1</w:t>
      </w:r>
      <w:r w:rsidR="00960578" w:rsidRPr="00960578">
        <w:rPr>
          <w:i/>
        </w:rPr>
        <w:t>2</w:t>
      </w:r>
      <w:r w:rsidR="00144EFA" w:rsidRPr="00960578">
        <w:rPr>
          <w:i/>
        </w:rPr>
        <w:t>0</w:t>
      </w:r>
      <w:r w:rsidR="00960578" w:rsidRPr="00960578">
        <w:rPr>
          <w:i/>
        </w:rPr>
        <w:t xml:space="preserve"> </w:t>
      </w:r>
      <w:r w:rsidR="00DA447D" w:rsidRPr="00960578">
        <w:rPr>
          <w:i/>
        </w:rPr>
        <w:t>dnů)</w:t>
      </w:r>
      <w:r w:rsidRPr="00960578">
        <w:t>.</w:t>
      </w:r>
      <w:r>
        <w:t xml:space="preserve"> </w:t>
      </w:r>
      <w:r w:rsidR="0044518A">
        <w:t>Předmě</w:t>
      </w:r>
      <w:r w:rsidR="00342D93">
        <w:t>t</w:t>
      </w:r>
      <w:r w:rsidR="0044518A">
        <w:t xml:space="preserve"> této smlouv</w:t>
      </w:r>
      <w:r w:rsidR="00342D93">
        <w:t>y</w:t>
      </w:r>
      <w:r>
        <w:t xml:space="preserve"> bud</w:t>
      </w:r>
      <w:r w:rsidR="00342D93">
        <w:t>e</w:t>
      </w:r>
      <w:r>
        <w:t xml:space="preserve"> </w:t>
      </w:r>
      <w:r w:rsidR="00A6312C">
        <w:t xml:space="preserve">dopraven </w:t>
      </w:r>
      <w:r w:rsidR="00082BFD">
        <w:t xml:space="preserve">a nainstalován </w:t>
      </w:r>
      <w:r w:rsidR="00A6312C">
        <w:t xml:space="preserve">do sídla </w:t>
      </w:r>
      <w:r w:rsidR="0032303A">
        <w:t>kupujícího</w:t>
      </w:r>
      <w:r>
        <w:t xml:space="preserve">, nebude-li dohodnuto jinak. Ve stejné lhůtě je </w:t>
      </w:r>
      <w:r w:rsidR="00104EF6">
        <w:t>p</w:t>
      </w:r>
      <w:r w:rsidR="00104EF6" w:rsidRPr="00104EF6">
        <w:t xml:space="preserve">rodávající </w:t>
      </w:r>
      <w:r w:rsidR="00342D93">
        <w:t xml:space="preserve">povinen předat </w:t>
      </w:r>
      <w:r>
        <w:t>vešker</w:t>
      </w:r>
      <w:r w:rsidR="00311529">
        <w:t>é</w:t>
      </w:r>
      <w:r>
        <w:t xml:space="preserve"> </w:t>
      </w:r>
      <w:r w:rsidR="00914672" w:rsidRPr="00914672">
        <w:t xml:space="preserve">doklady nutné k převzetí a užívání </w:t>
      </w:r>
      <w:r w:rsidR="00311529" w:rsidRPr="00311529">
        <w:t>předmět</w:t>
      </w:r>
      <w:r w:rsidR="00342D93">
        <w:t>u</w:t>
      </w:r>
      <w:r w:rsidR="00311529" w:rsidRPr="00311529">
        <w:t xml:space="preserve"> této smlouvy </w:t>
      </w:r>
      <w:r>
        <w:t xml:space="preserve">(návody k obsluze, </w:t>
      </w:r>
      <w:r w:rsidR="00D027FF">
        <w:t>prohlášení o shodě</w:t>
      </w:r>
      <w:r>
        <w:t xml:space="preserve">, záruční listy atd. v českém jazyce). </w:t>
      </w:r>
    </w:p>
    <w:p w:rsidR="00847BD5" w:rsidRDefault="00847BD5" w:rsidP="00A374CE">
      <w:pPr>
        <w:pStyle w:val="Nadpis2"/>
      </w:pPr>
      <w:r>
        <w:t xml:space="preserve">O předání a převzetí </w:t>
      </w:r>
      <w:r w:rsidR="0044518A">
        <w:t>předmětu této smlouvy</w:t>
      </w:r>
      <w:r>
        <w:t xml:space="preserve"> bude vyhotoven písemný předávací protokol podepsaný oběma stranami.</w:t>
      </w:r>
      <w:r w:rsidR="00ED2FFB" w:rsidRPr="00ED2FFB">
        <w:rPr>
          <w:szCs w:val="22"/>
        </w:rPr>
        <w:t xml:space="preserve"> </w:t>
      </w:r>
      <w:r w:rsidR="00ED2FFB" w:rsidRPr="00ED2FFB">
        <w:t>Protokol vyhotoví prodávající.</w:t>
      </w:r>
      <w:r w:rsidR="00A6312C">
        <w:t xml:space="preserve"> Protokoly musí být podepsány </w:t>
      </w:r>
      <w:r w:rsidR="0007051C">
        <w:t>v den převzetí</w:t>
      </w:r>
      <w:r w:rsidR="0007051C" w:rsidRPr="00A4765B">
        <w:t>.</w:t>
      </w:r>
    </w:p>
    <w:p w:rsidR="00A6312C" w:rsidRPr="00A6312C" w:rsidRDefault="00A6312C" w:rsidP="00A6312C">
      <w:pPr>
        <w:pStyle w:val="Nadpis2"/>
      </w:pPr>
      <w:r w:rsidRPr="00A6312C">
        <w:t xml:space="preserve">Náklady na dopravu do sídla </w:t>
      </w:r>
      <w:r w:rsidR="0032303A">
        <w:t>kupujícího</w:t>
      </w:r>
      <w:r w:rsidRPr="00A6312C">
        <w:t xml:space="preserve"> jsou obsaženy v celkové kupní ceně.</w:t>
      </w:r>
    </w:p>
    <w:p w:rsidR="00847BD5" w:rsidRDefault="00847BD5" w:rsidP="00983B5D">
      <w:pPr>
        <w:pStyle w:val="Nadpis2"/>
      </w:pPr>
      <w:r>
        <w:t xml:space="preserve">Prodávající vyrozumí kupujícího nejméně 10 pracovních dnů před plánovaným datem dodání, aby byl kupující připraven poskytnout mu potřebnou součinnost a předmět </w:t>
      </w:r>
      <w:r w:rsidR="0013101D">
        <w:t>koupě</w:t>
      </w:r>
      <w:r>
        <w:t xml:space="preserve"> převzít.</w:t>
      </w:r>
    </w:p>
    <w:p w:rsidR="00847BD5" w:rsidRDefault="00847BD5" w:rsidP="00983B5D">
      <w:pPr>
        <w:pStyle w:val="Nadpis2"/>
      </w:pPr>
      <w:r>
        <w:t>Vlastnické právo k předmětu koupě, jakož i nebezpečí škody na něm přechází na kupujícího okamžikem jeho protokolárního převzetí.</w:t>
      </w:r>
      <w:r w:rsidR="00C65B22">
        <w:t xml:space="preserve"> K</w:t>
      </w:r>
      <w:r w:rsidR="00C65B22" w:rsidRPr="00C65B22">
        <w:t>upující není povinen převzít předmět koupě vykazující jakoukoliv vadu nebo nedodělek</w:t>
      </w:r>
      <w:r w:rsidR="00C65B22">
        <w:t>.</w:t>
      </w:r>
    </w:p>
    <w:p w:rsidR="0013101D" w:rsidRDefault="0013101D" w:rsidP="00983B5D">
      <w:pPr>
        <w:pStyle w:val="Nadpis2"/>
      </w:pPr>
      <w:r>
        <w:t>Kupující je povinen prohlédnout předmět koupě co nejdříve po přechodu nebezpečí škody na věci a přesvědčit se, zda odpovídá smluveným vlastnostem a zadávacím podmínkám.</w:t>
      </w:r>
      <w:r w:rsidR="0046412C">
        <w:t xml:space="preserve"> Za vadu se považují i vady v dokladech nutných pro užívání věci.</w:t>
      </w:r>
    </w:p>
    <w:p w:rsidR="00E86457" w:rsidRDefault="00E86457" w:rsidP="00983B5D">
      <w:pPr>
        <w:pStyle w:val="Nadpis2"/>
      </w:pPr>
      <w:r>
        <w:t>Práva z vadného plnění se řídí ustanoveními § 2099 a násl. NOZ.</w:t>
      </w:r>
    </w:p>
    <w:p w:rsidR="00847BD5" w:rsidRDefault="00847BD5" w:rsidP="0027308F">
      <w:pPr>
        <w:pStyle w:val="Nadpis1"/>
      </w:pPr>
      <w:r>
        <w:t xml:space="preserve">Cena a </w:t>
      </w:r>
      <w:r w:rsidRPr="005D7CE2">
        <w:t>platební</w:t>
      </w:r>
      <w:r>
        <w:t xml:space="preserve"> podmínky</w:t>
      </w:r>
    </w:p>
    <w:p w:rsidR="00847BD5" w:rsidRDefault="00847BD5" w:rsidP="00983B5D">
      <w:pPr>
        <w:pStyle w:val="Nadpis2"/>
      </w:pPr>
      <w:r>
        <w:t xml:space="preserve">Celková kupní cena celého předmětu této smlouvy dle bodu </w:t>
      </w:r>
      <w:r w:rsidR="0044518A">
        <w:t>2.</w:t>
      </w:r>
      <w:r>
        <w:t>1 této smlouvy</w:t>
      </w:r>
      <w:r w:rsidRPr="00C053D4">
        <w:t xml:space="preserve"> </w:t>
      </w:r>
      <w:r>
        <w:t>je sjednána ve výši: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268"/>
        <w:gridCol w:w="1985"/>
        <w:gridCol w:w="2090"/>
      </w:tblGrid>
      <w:tr w:rsidR="00847BD5" w:rsidRPr="00446BDD" w:rsidTr="00D075B2">
        <w:trPr>
          <w:jc w:val="right"/>
        </w:trPr>
        <w:tc>
          <w:tcPr>
            <w:tcW w:w="3543" w:type="dxa"/>
          </w:tcPr>
          <w:p w:rsidR="00847BD5" w:rsidRPr="00446BDD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847BD5" w:rsidRPr="00446BDD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bez DPH</w:t>
            </w:r>
          </w:p>
        </w:tc>
        <w:tc>
          <w:tcPr>
            <w:tcW w:w="1985" w:type="dxa"/>
          </w:tcPr>
          <w:p w:rsidR="00847BD5" w:rsidRPr="00446BDD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DPH samostatně</w:t>
            </w:r>
          </w:p>
        </w:tc>
        <w:tc>
          <w:tcPr>
            <w:tcW w:w="2090" w:type="dxa"/>
          </w:tcPr>
          <w:p w:rsidR="00847BD5" w:rsidRPr="00446BDD" w:rsidRDefault="00847BD5" w:rsidP="005845ED">
            <w:pPr>
              <w:pStyle w:val="slovn1"/>
              <w:keepNext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446BDD">
              <w:rPr>
                <w:rFonts w:ascii="Calibri" w:hAnsi="Calibri" w:cs="Calibri"/>
                <w:b/>
                <w:bCs/>
                <w:i/>
                <w:iCs/>
              </w:rPr>
              <w:t>Cena vč. DPH</w:t>
            </w:r>
          </w:p>
        </w:tc>
      </w:tr>
      <w:tr w:rsidR="00847BD5" w:rsidRPr="00446BDD" w:rsidTr="00D075B2">
        <w:trPr>
          <w:jc w:val="right"/>
        </w:trPr>
        <w:tc>
          <w:tcPr>
            <w:tcW w:w="3543" w:type="dxa"/>
          </w:tcPr>
          <w:p w:rsidR="00847BD5" w:rsidRPr="00446BDD" w:rsidRDefault="00FB4B85" w:rsidP="0044518A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rPr>
                <w:rFonts w:ascii="Calibri" w:hAnsi="Calibri" w:cs="Calibri"/>
              </w:rPr>
            </w:pPr>
            <w:r w:rsidRPr="0044518A">
              <w:rPr>
                <w:rFonts w:ascii="Calibri" w:hAnsi="Calibri" w:cs="Calibri"/>
                <w:b/>
                <w:bCs/>
                <w:i/>
                <w:iCs/>
              </w:rPr>
              <w:t>Celková kupní cena</w:t>
            </w:r>
          </w:p>
        </w:tc>
        <w:tc>
          <w:tcPr>
            <w:tcW w:w="2268" w:type="dxa"/>
          </w:tcPr>
          <w:p w:rsidR="00847BD5" w:rsidRPr="00446BDD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446BDD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446BDD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1985" w:type="dxa"/>
          </w:tcPr>
          <w:p w:rsidR="00847BD5" w:rsidRPr="00446BDD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446BDD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446BDD">
              <w:rPr>
                <w:rFonts w:ascii="Calibri" w:hAnsi="Calibri" w:cs="Calibri"/>
              </w:rPr>
              <w:t xml:space="preserve"> Kč</w:t>
            </w:r>
          </w:p>
        </w:tc>
        <w:tc>
          <w:tcPr>
            <w:tcW w:w="2090" w:type="dxa"/>
          </w:tcPr>
          <w:p w:rsidR="00847BD5" w:rsidRPr="00446BDD" w:rsidRDefault="00847BD5" w:rsidP="00446BDD">
            <w:pPr>
              <w:pStyle w:val="slovn1"/>
              <w:widowControl/>
              <w:numPr>
                <w:ilvl w:val="0"/>
                <w:numId w:val="0"/>
              </w:numPr>
              <w:spacing w:after="0" w:line="276" w:lineRule="auto"/>
              <w:jc w:val="right"/>
              <w:rPr>
                <w:rFonts w:ascii="Calibri" w:hAnsi="Calibri" w:cs="Calibri"/>
              </w:rPr>
            </w:pPr>
            <w:r w:rsidRPr="00446BDD">
              <w:rPr>
                <w:rFonts w:ascii="Calibri" w:hAnsi="Calibri" w:cs="Calibri"/>
                <w:b/>
                <w:bCs/>
                <w:color w:val="FF0000"/>
              </w:rPr>
              <w:t>DOPLNIT</w:t>
            </w:r>
            <w:r w:rsidRPr="00446BDD">
              <w:rPr>
                <w:rFonts w:ascii="Calibri" w:hAnsi="Calibri" w:cs="Calibri"/>
              </w:rPr>
              <w:t xml:space="preserve"> Kč</w:t>
            </w:r>
          </w:p>
        </w:tc>
      </w:tr>
    </w:tbl>
    <w:p w:rsidR="00847BD5" w:rsidRDefault="00847BD5" w:rsidP="00983B5D">
      <w:pPr>
        <w:pStyle w:val="Nadpis2"/>
      </w:pPr>
      <w:r>
        <w:t>Uveden</w:t>
      </w:r>
      <w:r w:rsidR="00E367E0">
        <w:t>á</w:t>
      </w:r>
      <w:r>
        <w:t xml:space="preserve"> cena bez DPH je konečná - nejvýše přípustná. </w:t>
      </w:r>
      <w:r w:rsidR="00E86457">
        <w:t>Součástí kupní ceny jsou také</w:t>
      </w:r>
      <w:r w:rsidR="00A6312C">
        <w:t xml:space="preserve"> náklady na</w:t>
      </w:r>
      <w:r w:rsidR="00E86457">
        <w:t xml:space="preserve"> </w:t>
      </w:r>
      <w:r w:rsidR="00A6312C">
        <w:t xml:space="preserve">dopravu předmětu plnění do sídla </w:t>
      </w:r>
      <w:r w:rsidR="0032303A">
        <w:t>kupujícího</w:t>
      </w:r>
      <w:r w:rsidR="00A6312C">
        <w:t xml:space="preserve">, náklady na </w:t>
      </w:r>
      <w:r w:rsidR="00E86457">
        <w:t>příslušenství</w:t>
      </w:r>
      <w:r w:rsidR="00BF5677">
        <w:t>, náklady na označení vozidla</w:t>
      </w:r>
      <w:r w:rsidR="00E86457">
        <w:t xml:space="preserve"> a doklady potřebné pro užívání předmětu smlouvy, včetně zajištění proškolení dle čl. </w:t>
      </w:r>
      <w:r w:rsidR="004716EB">
        <w:t>9</w:t>
      </w:r>
      <w:r w:rsidR="00E86457">
        <w:t xml:space="preserve">.1 </w:t>
      </w:r>
      <w:r w:rsidR="005D7CE2">
        <w:t xml:space="preserve">této </w:t>
      </w:r>
      <w:r w:rsidR="00E86457">
        <w:t xml:space="preserve">smlouvy. </w:t>
      </w:r>
      <w:r>
        <w:t>Prodávající není oprávněn účtovat žádné další částky v souvislosti s dodáním předmětu koupě. Změna ceny včetně DPH je možná v důsledku změny zákonné sazby DPH, v takovém případě bude cena upravena podle sazeb DPH platných v době vzniku zdanitelného plnění. Záloha nebude poskytnuta.</w:t>
      </w:r>
    </w:p>
    <w:p w:rsidR="00B66B9D" w:rsidRDefault="00B66B9D" w:rsidP="00983B5D">
      <w:pPr>
        <w:pStyle w:val="Nadpis2"/>
      </w:pPr>
      <w:r>
        <w:t>Kupující zaplatí kupní cenu za dodan</w:t>
      </w:r>
      <w:r w:rsidR="00342D93">
        <w:t>ý</w:t>
      </w:r>
      <w:r>
        <w:t xml:space="preserve"> </w:t>
      </w:r>
      <w:r w:rsidR="00342D93">
        <w:t>předmět</w:t>
      </w:r>
      <w:r w:rsidRPr="00D24996">
        <w:t xml:space="preserve"> plnění této smlouvy </w:t>
      </w:r>
      <w:r>
        <w:t>na základě daňového dokladu vystaveného prodávajícím po dodání předmět</w:t>
      </w:r>
      <w:r w:rsidR="00342D93">
        <w:t>u</w:t>
      </w:r>
      <w:r>
        <w:t xml:space="preserve"> této smlouvy a jejich protokolárním převzetí kupujícím, přičemž v předávacím protokolu bude deklarovaná funkčnost, bezvadnost a kompletnost dodaného předmětu</w:t>
      </w:r>
      <w:r w:rsidRPr="0042459A">
        <w:t xml:space="preserve"> této smlouvy</w:t>
      </w:r>
      <w:r>
        <w:t>. Na dodan</w:t>
      </w:r>
      <w:r w:rsidR="00342D93">
        <w:t>ý</w:t>
      </w:r>
      <w:r>
        <w:t xml:space="preserve"> předmět</w:t>
      </w:r>
      <w:r w:rsidRPr="0042459A">
        <w:t xml:space="preserve"> této smlouvy </w:t>
      </w:r>
      <w:r>
        <w:t xml:space="preserve">uvedené v bodu </w:t>
      </w:r>
      <w:r w:rsidR="00915BA6">
        <w:t>2</w:t>
      </w:r>
      <w:r>
        <w:t xml:space="preserve">.1 bude vystaven daňový doklad s rozepsanými položkami s rozdílnou DPH. </w:t>
      </w:r>
      <w:r w:rsidRPr="008E1341">
        <w:t xml:space="preserve">Daňový doklad musí být vystaven </w:t>
      </w:r>
      <w:r w:rsidRPr="008E1341">
        <w:rPr>
          <w:b/>
        </w:rPr>
        <w:t>do 15 dnů</w:t>
      </w:r>
      <w:r w:rsidRPr="008E1341">
        <w:t xml:space="preserve"> ode dne, kdy došlo k protokolárnímu převzetí předmětu této smlouvy. Splatnost </w:t>
      </w:r>
      <w:r>
        <w:t>daňového dokladu</w:t>
      </w:r>
      <w:r w:rsidRPr="008E1341">
        <w:t xml:space="preserve"> je </w:t>
      </w:r>
      <w:r w:rsidRPr="008E1341">
        <w:rPr>
          <w:b/>
        </w:rPr>
        <w:t>30 dnů</w:t>
      </w:r>
      <w:r w:rsidRPr="008E1341">
        <w:t xml:space="preserve"> </w:t>
      </w:r>
      <w:r>
        <w:t>a musí být doručen</w:t>
      </w:r>
      <w:r w:rsidRPr="008E1341">
        <w:t xml:space="preserve"> kupujícímu na adresu jeho sídla </w:t>
      </w:r>
      <w:r w:rsidRPr="008E1341">
        <w:rPr>
          <w:b/>
        </w:rPr>
        <w:t xml:space="preserve">nejpozději do </w:t>
      </w:r>
      <w:r>
        <w:rPr>
          <w:b/>
        </w:rPr>
        <w:t>5 pracovních dnů od vystavení</w:t>
      </w:r>
      <w:r>
        <w:t>. Každý daňový doklad musí mít všechny zákonné náležitosti a bude na něm uvedeno číslo této smlouvy. Pokud daňový doklad nebude obsahovat některé zákonné nebo v této smlouvě sjednané náležitosti, má kupující právo vrátit ho zpět k opravě s tím, že prodávající vystaví nový bezchybný daňový doklad, pro který poběží nová lhůta splatnosti. Daňový doklad je zaplacen odepsáním účtované částky z účtu kupujícího ve prospěch účtu prodávajícího.</w:t>
      </w:r>
    </w:p>
    <w:p w:rsidR="00847BD5" w:rsidRDefault="00847BD5" w:rsidP="0027308F">
      <w:pPr>
        <w:pStyle w:val="Nadpis1"/>
      </w:pPr>
      <w:r>
        <w:t>Záruka a záruční podmínky</w:t>
      </w:r>
    </w:p>
    <w:p w:rsidR="00847BD5" w:rsidRDefault="00847BD5" w:rsidP="00983B5D">
      <w:pPr>
        <w:pStyle w:val="Nadpis2"/>
      </w:pPr>
      <w:r>
        <w:t>Předmět koupě má vady, jestliže neodpovídá výsledku určenému ve sm</w:t>
      </w:r>
      <w:r w:rsidR="00896BBD">
        <w:t>louvě, tj. především není dodán</w:t>
      </w:r>
      <w:r>
        <w:t xml:space="preserve"> v množství, jakosti a provedení, jež je stanoveno v této smlouvě, popř. není-li ujednáno, tak výsledku obvyklému.</w:t>
      </w:r>
    </w:p>
    <w:p w:rsidR="00847BD5" w:rsidRDefault="00847BD5" w:rsidP="00983B5D">
      <w:pPr>
        <w:pStyle w:val="Nadpis2"/>
      </w:pPr>
      <w:r>
        <w:t>Prodávající odpovídá za vady, jež má předmět koupě v době jeho předání.</w:t>
      </w:r>
    </w:p>
    <w:p w:rsidR="00847BD5" w:rsidRDefault="00847BD5" w:rsidP="00983B5D">
      <w:pPr>
        <w:pStyle w:val="Nadpis2"/>
      </w:pPr>
      <w:r>
        <w:t>Kupující je oprávněn zadržet kupní cenu nebo její část v případě, že předmět koupě při předání vykazuje vady, popřípadě lze důvodně předpokládat, že vady bude vykazovat.</w:t>
      </w:r>
    </w:p>
    <w:p w:rsidR="00847BD5" w:rsidRDefault="00847BD5" w:rsidP="00983B5D">
      <w:pPr>
        <w:pStyle w:val="Nadpis2"/>
      </w:pPr>
      <w:r>
        <w:t xml:space="preserve">Prodávající přejímá závazek (záruku za jakost), že předmět koupě bude po dobu záruční doby způsobilý pro použití k </w:t>
      </w:r>
      <w:r w:rsidR="00914672" w:rsidRPr="00914672">
        <w:t>obvyklému</w:t>
      </w:r>
      <w:r w:rsidR="00914672" w:rsidRPr="00914672" w:rsidDel="00914672">
        <w:t xml:space="preserve"> </w:t>
      </w:r>
      <w:r>
        <w:t>účelu.</w:t>
      </w:r>
    </w:p>
    <w:p w:rsidR="00847BD5" w:rsidRDefault="00847BD5" w:rsidP="00983B5D">
      <w:pPr>
        <w:pStyle w:val="Nadpis2"/>
      </w:pPr>
      <w:r>
        <w:t>Záruční lhůta se sjednává násled</w:t>
      </w:r>
      <w:r w:rsidR="00082BFD">
        <w:t>ovně</w:t>
      </w:r>
      <w: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9"/>
        <w:gridCol w:w="2090"/>
      </w:tblGrid>
      <w:tr w:rsidR="00847BD5" w:rsidRPr="00446BDD" w:rsidTr="004716EB">
        <w:trPr>
          <w:jc w:val="right"/>
        </w:trPr>
        <w:tc>
          <w:tcPr>
            <w:tcW w:w="7579" w:type="dxa"/>
          </w:tcPr>
          <w:p w:rsidR="00847BD5" w:rsidRPr="00651593" w:rsidRDefault="0042459A" w:rsidP="00960578">
            <w:pPr>
              <w:spacing w:before="40" w:after="40" w:line="240" w:lineRule="auto"/>
              <w:rPr>
                <w:lang w:eastAsia="cs-CZ"/>
              </w:rPr>
            </w:pPr>
            <w:r w:rsidRPr="00651593">
              <w:rPr>
                <w:lang w:eastAsia="cs-CZ"/>
              </w:rPr>
              <w:t xml:space="preserve">Záruční lhůta </w:t>
            </w:r>
            <w:r w:rsidR="00D76405" w:rsidRPr="00960578">
              <w:rPr>
                <w:i/>
                <w:lang w:eastAsia="cs-CZ"/>
              </w:rPr>
              <w:t xml:space="preserve">(min. </w:t>
            </w:r>
            <w:r w:rsidR="00960578" w:rsidRPr="00960578">
              <w:rPr>
                <w:i/>
                <w:lang w:eastAsia="cs-CZ"/>
              </w:rPr>
              <w:t>12</w:t>
            </w:r>
            <w:r w:rsidR="00D76405" w:rsidRPr="00960578">
              <w:rPr>
                <w:i/>
                <w:lang w:eastAsia="cs-CZ"/>
              </w:rPr>
              <w:t xml:space="preserve"> měsíců)</w:t>
            </w:r>
          </w:p>
        </w:tc>
        <w:tc>
          <w:tcPr>
            <w:tcW w:w="2090" w:type="dxa"/>
          </w:tcPr>
          <w:p w:rsidR="00847BD5" w:rsidRPr="00446BDD" w:rsidRDefault="00847BD5" w:rsidP="00446BDD">
            <w:pPr>
              <w:spacing w:before="40" w:after="40" w:line="240" w:lineRule="auto"/>
              <w:jc w:val="right"/>
              <w:rPr>
                <w:lang w:eastAsia="cs-CZ"/>
              </w:rPr>
            </w:pPr>
            <w:r w:rsidRPr="00446BDD">
              <w:rPr>
                <w:b/>
                <w:bCs/>
                <w:color w:val="FF0000"/>
                <w:lang w:eastAsia="cs-CZ"/>
              </w:rPr>
              <w:t>DOPLNIT</w:t>
            </w:r>
            <w:r w:rsidRPr="00446BDD">
              <w:rPr>
                <w:lang w:eastAsia="cs-CZ"/>
              </w:rPr>
              <w:t xml:space="preserve"> měsíců</w:t>
            </w:r>
          </w:p>
        </w:tc>
      </w:tr>
    </w:tbl>
    <w:p w:rsidR="00847BD5" w:rsidRDefault="00847BD5" w:rsidP="00983B5D">
      <w:pPr>
        <w:pStyle w:val="Nadpis2"/>
      </w:pPr>
      <w:r w:rsidRPr="00A7254D">
        <w:t xml:space="preserve">Všechny body záruky jsou platné ode dne </w:t>
      </w:r>
      <w:r w:rsidRPr="00A7254D">
        <w:rPr>
          <w:rFonts w:eastAsia="HiddenHorzOCR"/>
        </w:rPr>
        <w:t xml:space="preserve">předání </w:t>
      </w:r>
      <w:r w:rsidR="00C65B22">
        <w:rPr>
          <w:rFonts w:eastAsia="HiddenHorzOCR"/>
        </w:rPr>
        <w:t xml:space="preserve">a převzetí </w:t>
      </w:r>
      <w:r w:rsidRPr="00A7254D">
        <w:rPr>
          <w:rFonts w:eastAsia="HiddenHorzOCR"/>
        </w:rPr>
        <w:t xml:space="preserve">předmětu koupě </w:t>
      </w:r>
      <w:r w:rsidRPr="00A7254D">
        <w:t xml:space="preserve">a jeho uvedení do provozu (dle potvrzeného </w:t>
      </w:r>
      <w:r w:rsidRPr="00A7254D">
        <w:rPr>
          <w:rFonts w:eastAsia="HiddenHorzOCR"/>
        </w:rPr>
        <w:t xml:space="preserve">předávacího </w:t>
      </w:r>
      <w:r w:rsidRPr="00A7254D">
        <w:t>protokolu)</w:t>
      </w:r>
      <w:r w:rsidR="00365E9D">
        <w:t>.</w:t>
      </w:r>
      <w:r w:rsidRPr="00A7254D">
        <w:t xml:space="preserve"> Prodávající </w:t>
      </w:r>
      <w:r w:rsidRPr="00A7254D">
        <w:rPr>
          <w:rFonts w:eastAsia="HiddenHorzOCR"/>
        </w:rPr>
        <w:t xml:space="preserve">předá </w:t>
      </w:r>
      <w:r w:rsidRPr="00A7254D">
        <w:t xml:space="preserve">kupujícímu návod k obsluze v </w:t>
      </w:r>
      <w:r w:rsidRPr="00A7254D">
        <w:rPr>
          <w:rFonts w:eastAsia="HiddenHorzOCR"/>
        </w:rPr>
        <w:t xml:space="preserve">českém </w:t>
      </w:r>
      <w:r w:rsidRPr="00A7254D">
        <w:t xml:space="preserve">jazyce. Smluvní strany se dohodly na tom, že po dobu </w:t>
      </w:r>
      <w:r>
        <w:t xml:space="preserve">záručních lhůt </w:t>
      </w:r>
      <w:r w:rsidRPr="00A7254D">
        <w:t xml:space="preserve">odpovídá prodávající za vady </w:t>
      </w:r>
      <w:r w:rsidRPr="00A7254D">
        <w:rPr>
          <w:rFonts w:eastAsia="HiddenHorzOCR"/>
        </w:rPr>
        <w:t xml:space="preserve">předmětu koupě. </w:t>
      </w:r>
      <w:r w:rsidRPr="00A7254D">
        <w:t xml:space="preserve">Uvedení do provozu </w:t>
      </w:r>
      <w:r w:rsidRPr="00A7254D">
        <w:rPr>
          <w:rFonts w:eastAsia="HiddenHorzOCR"/>
        </w:rPr>
        <w:t xml:space="preserve">proběhne </w:t>
      </w:r>
      <w:r w:rsidRPr="00A7254D">
        <w:t xml:space="preserve">na </w:t>
      </w:r>
      <w:r w:rsidRPr="00A7254D">
        <w:rPr>
          <w:rFonts w:eastAsia="HiddenHorzOCR"/>
        </w:rPr>
        <w:t xml:space="preserve">základě </w:t>
      </w:r>
      <w:r w:rsidRPr="00A7254D">
        <w:t xml:space="preserve">proškolení uživatele prodávajícím v termínu, který bude stanoven </w:t>
      </w:r>
      <w:r w:rsidRPr="00A7254D">
        <w:rPr>
          <w:rFonts w:eastAsia="HiddenHorzOCR"/>
        </w:rPr>
        <w:t xml:space="preserve">nejpozději při předání </w:t>
      </w:r>
      <w:r w:rsidR="00B71E1E">
        <w:rPr>
          <w:rFonts w:eastAsia="HiddenHorzOCR"/>
        </w:rPr>
        <w:t>předmětu koupě</w:t>
      </w:r>
      <w:r w:rsidR="00365E9D">
        <w:t>.</w:t>
      </w:r>
    </w:p>
    <w:p w:rsidR="00156C8E" w:rsidRPr="00156C8E" w:rsidRDefault="00847BD5" w:rsidP="00910DB0">
      <w:pPr>
        <w:pStyle w:val="Nadpis2"/>
        <w:rPr>
          <w:b/>
          <w:bCs/>
        </w:rPr>
      </w:pPr>
      <w:r>
        <w:t xml:space="preserve">Veškeré vady </w:t>
      </w:r>
      <w:r w:rsidR="00156C8E">
        <w:t xml:space="preserve">zjištěné </w:t>
      </w:r>
      <w:r w:rsidR="00156C8E" w:rsidRPr="00637204">
        <w:t xml:space="preserve">na </w:t>
      </w:r>
      <w:r w:rsidR="00082BFD">
        <w:t xml:space="preserve">předmětu smlouvy </w:t>
      </w:r>
      <w:r w:rsidR="00156C8E">
        <w:rPr>
          <w:lang w:eastAsia="cs-CZ"/>
        </w:rPr>
        <w:t xml:space="preserve">budou uplatňovány kupujícím </w:t>
      </w:r>
      <w:r w:rsidR="00156C8E">
        <w:t>bez zbytečného odkladu poté, kdy vadu zjistil</w:t>
      </w:r>
      <w:r w:rsidR="00910DB0" w:rsidRPr="00910DB0">
        <w:t>, a to formou písemného oznámení (emailem), které bude obsahovat co nejpodrobnější specifikaci zjištěné vady. Kupující bude vady předmětu koupě oznamovat na adresu kontaktní osoby prodávajícího uvedené ve čl. 1.1 této smlouvy</w:t>
      </w:r>
      <w:r w:rsidR="00082BFD">
        <w:t>.</w:t>
      </w:r>
      <w:r w:rsidR="00156C8E" w:rsidRPr="00156C8E">
        <w:t xml:space="preserve"> </w:t>
      </w:r>
      <w:r w:rsidR="00156C8E">
        <w:t>R</w:t>
      </w:r>
      <w:r w:rsidR="00156C8E" w:rsidRPr="00C65B22">
        <w:t>eklamace odeslaná poslední den záruční lhůty se považuje za včas uplatněnou</w:t>
      </w:r>
      <w:r w:rsidR="00156C8E">
        <w:t>.</w:t>
      </w:r>
    </w:p>
    <w:p w:rsidR="00847BD5" w:rsidRDefault="00847BD5" w:rsidP="0027308F">
      <w:pPr>
        <w:pStyle w:val="Nadpis1"/>
      </w:pPr>
      <w:r>
        <w:t>Servisní podmínky</w:t>
      </w:r>
    </w:p>
    <w:p w:rsidR="00B75A69" w:rsidRPr="00B75A69" w:rsidRDefault="00847BD5" w:rsidP="003E3B88">
      <w:pPr>
        <w:pStyle w:val="Nadpis2"/>
      </w:pPr>
      <w:r w:rsidRPr="00D8432F">
        <w:t xml:space="preserve">Termín nástupu na servisní zásah k </w:t>
      </w:r>
      <w:r w:rsidRPr="00960578">
        <w:rPr>
          <w:rFonts w:eastAsia="HiddenHorzOCR"/>
        </w:rPr>
        <w:t xml:space="preserve">odstranění </w:t>
      </w:r>
      <w:r w:rsidRPr="00D8432F">
        <w:t>závad v</w:t>
      </w:r>
      <w:r>
        <w:t> </w:t>
      </w:r>
      <w:r w:rsidRPr="00960578">
        <w:rPr>
          <w:rFonts w:eastAsia="HiddenHorzOCR"/>
        </w:rPr>
        <w:t xml:space="preserve">záruční lhůtě </w:t>
      </w:r>
      <w:r>
        <w:t xml:space="preserve">je stanoven </w:t>
      </w:r>
      <w:r w:rsidR="00375F3F">
        <w:t xml:space="preserve">v pracovních dnech </w:t>
      </w:r>
      <w:r>
        <w:t xml:space="preserve">do </w:t>
      </w:r>
      <w:r w:rsidRPr="00960578">
        <w:rPr>
          <w:b/>
          <w:bCs/>
          <w:color w:val="FF0000"/>
        </w:rPr>
        <w:t>DOPLNIT</w:t>
      </w:r>
      <w:r>
        <w:t xml:space="preserve"> hodin</w:t>
      </w:r>
      <w:r w:rsidR="00375F3F">
        <w:t xml:space="preserve"> a mimo pracovní dny do </w:t>
      </w:r>
      <w:r w:rsidR="00375F3F" w:rsidRPr="00960578">
        <w:rPr>
          <w:b/>
          <w:bCs/>
          <w:color w:val="FF0000"/>
        </w:rPr>
        <w:t>DOPLNIT</w:t>
      </w:r>
      <w:r w:rsidR="00375F3F">
        <w:t xml:space="preserve"> hodin</w:t>
      </w:r>
      <w:r>
        <w:t xml:space="preserve"> </w:t>
      </w:r>
      <w:r w:rsidRPr="00D8432F">
        <w:t xml:space="preserve">po nahlášení závady </w:t>
      </w:r>
      <w:r>
        <w:t>prodávajícímu (</w:t>
      </w:r>
      <w:r w:rsidR="00B71E1E" w:rsidRPr="00960578">
        <w:rPr>
          <w:i/>
        </w:rPr>
        <w:t xml:space="preserve">pozn. zadavatele </w:t>
      </w:r>
      <w:r w:rsidRPr="00960578">
        <w:rPr>
          <w:i/>
        </w:rPr>
        <w:t>max. 24</w:t>
      </w:r>
      <w:r w:rsidRPr="00960578">
        <w:rPr>
          <w:b/>
          <w:bCs/>
          <w:i/>
          <w:color w:val="FF0000"/>
        </w:rPr>
        <w:t xml:space="preserve"> </w:t>
      </w:r>
      <w:r w:rsidRPr="00960578">
        <w:rPr>
          <w:i/>
        </w:rPr>
        <w:t>hod</w:t>
      </w:r>
      <w:r w:rsidRPr="00960578">
        <w:t>.</w:t>
      </w:r>
      <w:r w:rsidR="00960578" w:rsidRPr="00960578">
        <w:t xml:space="preserve"> </w:t>
      </w:r>
      <w:r w:rsidR="00960578" w:rsidRPr="00960578">
        <w:rPr>
          <w:i/>
        </w:rPr>
        <w:t>a mimo pracovní dny do 24 hodin po nahlášení závady</w:t>
      </w:r>
      <w:r w:rsidRPr="00960578">
        <w:rPr>
          <w:i/>
        </w:rPr>
        <w:t>).</w:t>
      </w:r>
      <w:r w:rsidR="00B75A69" w:rsidRPr="00960578">
        <w:rPr>
          <w:i/>
        </w:rPr>
        <w:t xml:space="preserve"> </w:t>
      </w:r>
      <w:r w:rsidR="00B75A69" w:rsidRPr="00960578">
        <w:t>Nahlášení</w:t>
      </w:r>
      <w:r w:rsidR="00B75A69" w:rsidRPr="00960578">
        <w:rPr>
          <w:i/>
        </w:rPr>
        <w:t xml:space="preserve"> </w:t>
      </w:r>
      <w:r w:rsidR="00B75A69" w:rsidRPr="00960578">
        <w:t>po</w:t>
      </w:r>
      <w:r w:rsidR="00B75A69" w:rsidRPr="00B75A69">
        <w:t>třeby</w:t>
      </w:r>
      <w:r w:rsidR="00B75A69" w:rsidRPr="00960578">
        <w:rPr>
          <w:i/>
        </w:rPr>
        <w:t xml:space="preserve"> </w:t>
      </w:r>
      <w:r w:rsidR="00B75A69">
        <w:t>servisního zásahu bude prováděno buď písemně emailem, nebo telefonicky s následným potvrzením emailovou formou</w:t>
      </w:r>
      <w:r w:rsidR="00F74F67">
        <w:t xml:space="preserve">, a to na kontaktní údaje kontaktní osoby </w:t>
      </w:r>
      <w:r w:rsidR="004716EB" w:rsidRPr="00914672">
        <w:t xml:space="preserve">prodávajícího </w:t>
      </w:r>
      <w:r w:rsidR="00F74F67">
        <w:t>uvedené ve čl. 1</w:t>
      </w:r>
      <w:r w:rsidR="004716EB">
        <w:t>.1</w:t>
      </w:r>
      <w:r w:rsidR="00F74F67">
        <w:t xml:space="preserve"> této smlouvy.</w:t>
      </w:r>
      <w:r w:rsidR="00B75A69">
        <w:t xml:space="preserve"> Za okamžik nahlášení se považuje čas odeslání emailu, nebo emailové</w:t>
      </w:r>
      <w:r w:rsidR="00F74F67">
        <w:t>ho</w:t>
      </w:r>
      <w:r w:rsidR="00B75A69">
        <w:t xml:space="preserve"> potvrzení telefonického nahlášení.</w:t>
      </w:r>
    </w:p>
    <w:p w:rsidR="00847BD5" w:rsidRPr="00D8432F" w:rsidRDefault="00847BD5" w:rsidP="00960578">
      <w:pPr>
        <w:pStyle w:val="Nadpis2"/>
      </w:pPr>
      <w:r w:rsidRPr="00D8432F">
        <w:t xml:space="preserve">Termín </w:t>
      </w:r>
      <w:r w:rsidRPr="00D8432F">
        <w:rPr>
          <w:rFonts w:eastAsia="HiddenHorzOCR"/>
        </w:rPr>
        <w:t xml:space="preserve">odstranění </w:t>
      </w:r>
      <w:r>
        <w:t xml:space="preserve">závad </w:t>
      </w:r>
      <w:r w:rsidRPr="00D8432F">
        <w:t xml:space="preserve">v </w:t>
      </w:r>
      <w:r w:rsidRPr="00D8432F">
        <w:rPr>
          <w:rFonts w:eastAsia="HiddenHorzOCR"/>
        </w:rPr>
        <w:t xml:space="preserve">záruční </w:t>
      </w:r>
      <w:r>
        <w:rPr>
          <w:rFonts w:eastAsia="HiddenHorzOCR"/>
        </w:rPr>
        <w:t>lhůtě</w:t>
      </w:r>
      <w:r w:rsidRPr="00D8432F">
        <w:rPr>
          <w:rFonts w:eastAsia="HiddenHorzOCR"/>
        </w:rPr>
        <w:t xml:space="preserve"> </w:t>
      </w:r>
      <w:r>
        <w:t xml:space="preserve">je stanoven do </w:t>
      </w:r>
      <w:r w:rsidRPr="00934300">
        <w:rPr>
          <w:b/>
          <w:bCs/>
          <w:color w:val="FF0000"/>
        </w:rPr>
        <w:t>DOPLNIT</w:t>
      </w:r>
      <w:r>
        <w:t xml:space="preserve"> hodin </w:t>
      </w:r>
      <w:r w:rsidRPr="00D8432F">
        <w:t xml:space="preserve">od nastoupení k servisnímu zásahu </w:t>
      </w:r>
      <w:r w:rsidRPr="00960578">
        <w:t>(</w:t>
      </w:r>
      <w:r w:rsidR="00B71E1E" w:rsidRPr="00960578">
        <w:rPr>
          <w:i/>
        </w:rPr>
        <w:t xml:space="preserve">pozn. zadavatele </w:t>
      </w:r>
      <w:r w:rsidRPr="00960578">
        <w:rPr>
          <w:i/>
        </w:rPr>
        <w:t>max. 72</w:t>
      </w:r>
      <w:r w:rsidRPr="00960578">
        <w:rPr>
          <w:b/>
          <w:bCs/>
          <w:i/>
          <w:color w:val="FF0000"/>
        </w:rPr>
        <w:t xml:space="preserve"> </w:t>
      </w:r>
      <w:r w:rsidRPr="00960578">
        <w:rPr>
          <w:i/>
        </w:rPr>
        <w:t>hod</w:t>
      </w:r>
      <w:r w:rsidR="00960578" w:rsidRPr="00960578">
        <w:rPr>
          <w:i/>
        </w:rPr>
        <w:t>in od nastoupení k servisnímu zásahu</w:t>
      </w:r>
      <w:r>
        <w:t>).</w:t>
      </w:r>
    </w:p>
    <w:p w:rsidR="00847BD5" w:rsidRDefault="00847BD5" w:rsidP="00960578">
      <w:pPr>
        <w:pStyle w:val="Nadpis2"/>
      </w:pPr>
      <w:r>
        <w:t>V</w:t>
      </w:r>
      <w:r w:rsidRPr="00D8432F">
        <w:t xml:space="preserve"> záruční </w:t>
      </w:r>
      <w:r>
        <w:t>lhůtě</w:t>
      </w:r>
      <w:r w:rsidRPr="00D8432F">
        <w:t xml:space="preserve"> bude poskytován servis bezúplatně.</w:t>
      </w:r>
      <w:r w:rsidR="00960578">
        <w:t xml:space="preserve"> </w:t>
      </w:r>
      <w:r w:rsidR="00960578" w:rsidRPr="00960578">
        <w:t>V záruční lhůtě budou poskytovány bezúplatně díly podléhající záruce.</w:t>
      </w:r>
    </w:p>
    <w:p w:rsidR="00847BD5" w:rsidRDefault="00847BD5" w:rsidP="00983B5D">
      <w:pPr>
        <w:pStyle w:val="Nadpis2"/>
      </w:pPr>
      <w:r w:rsidRPr="00D8432F">
        <w:t xml:space="preserve">V </w:t>
      </w:r>
      <w:r w:rsidRPr="00D8432F">
        <w:rPr>
          <w:rFonts w:eastAsia="HiddenHorzOCR"/>
        </w:rPr>
        <w:t xml:space="preserve">případě, </w:t>
      </w:r>
      <w:r w:rsidRPr="00D8432F">
        <w:t xml:space="preserve">že </w:t>
      </w:r>
      <w:r w:rsidRPr="00D8432F">
        <w:rPr>
          <w:rFonts w:eastAsia="HiddenHorzOCR"/>
        </w:rPr>
        <w:t xml:space="preserve">zjištěná </w:t>
      </w:r>
      <w:r w:rsidRPr="00D8432F">
        <w:t>závada bude závažného charakt</w:t>
      </w:r>
      <w:r>
        <w:t xml:space="preserve">eru a oprava si vyžádá dle bodu 6.2 více než </w:t>
      </w:r>
      <w:r w:rsidR="00983B5D">
        <w:t>uvedený počet</w:t>
      </w:r>
      <w:r w:rsidRPr="00D8432F">
        <w:t xml:space="preserve"> </w:t>
      </w:r>
      <w:r>
        <w:t>hodin</w:t>
      </w:r>
      <w:r w:rsidR="00B71E1E">
        <w:t xml:space="preserve"> </w:t>
      </w:r>
      <w:r w:rsidR="002447F8">
        <w:t>v záruční lhůtě</w:t>
      </w:r>
      <w:r w:rsidR="0079103C">
        <w:t>,</w:t>
      </w:r>
      <w:r w:rsidRPr="00D8432F">
        <w:t xml:space="preserve"> musí být délka opravy</w:t>
      </w:r>
      <w:r>
        <w:t xml:space="preserve"> </w:t>
      </w:r>
      <w:r w:rsidRPr="00D8432F">
        <w:t xml:space="preserve">navržena </w:t>
      </w:r>
      <w:r>
        <w:t>a odůvodněna prodávajícím</w:t>
      </w:r>
      <w:r w:rsidRPr="00D8432F">
        <w:t xml:space="preserve"> a tato musí být schválena ze strany kupujícího.</w:t>
      </w:r>
    </w:p>
    <w:p w:rsidR="00104EF6" w:rsidRPr="00104EF6" w:rsidRDefault="00104EF6" w:rsidP="00104EF6">
      <w:pPr>
        <w:pStyle w:val="Nadpis2"/>
      </w:pPr>
      <w:r w:rsidRPr="00104EF6">
        <w:t xml:space="preserve">Místo záručního servisního zásahu na nástavbě bude sídlo nebo základna </w:t>
      </w:r>
      <w:r w:rsidR="0032303A">
        <w:t>kupujícího</w:t>
      </w:r>
      <w:r>
        <w:t>. Toto místo bude při nahlášení závady určeno konkrétně.</w:t>
      </w:r>
    </w:p>
    <w:p w:rsidR="00847BD5" w:rsidRDefault="00847BD5" w:rsidP="0027308F">
      <w:pPr>
        <w:pStyle w:val="Nadpis1"/>
      </w:pPr>
      <w:r>
        <w:t>Sankční podmínky</w:t>
      </w:r>
    </w:p>
    <w:p w:rsidR="00847BD5" w:rsidRDefault="00847BD5" w:rsidP="00983B5D">
      <w:pPr>
        <w:pStyle w:val="Nadpis2"/>
      </w:pPr>
      <w:r w:rsidRPr="002965A1">
        <w:t xml:space="preserve">V </w:t>
      </w:r>
      <w:r w:rsidRPr="002965A1">
        <w:rPr>
          <w:rFonts w:eastAsia="HiddenHorzOCR"/>
        </w:rPr>
        <w:t xml:space="preserve">případě </w:t>
      </w:r>
      <w:r w:rsidRPr="002965A1">
        <w:t xml:space="preserve">nedodržení smluvní doby k nástupu k servisnímu zásahu v </w:t>
      </w:r>
      <w:r w:rsidRPr="002965A1">
        <w:rPr>
          <w:rFonts w:eastAsia="HiddenHorzOCR"/>
        </w:rPr>
        <w:t xml:space="preserve">záruční době </w:t>
      </w:r>
      <w:r>
        <w:rPr>
          <w:rFonts w:eastAsia="HiddenHorzOCR"/>
        </w:rPr>
        <w:t xml:space="preserve">se sjednává </w:t>
      </w:r>
      <w:r>
        <w:t xml:space="preserve">smluvní pokuta </w:t>
      </w:r>
      <w:r w:rsidR="00B75A69">
        <w:rPr>
          <w:b/>
          <w:bCs/>
        </w:rPr>
        <w:t>1.0</w:t>
      </w:r>
      <w:r w:rsidRPr="005B5760">
        <w:rPr>
          <w:b/>
          <w:bCs/>
        </w:rPr>
        <w:t>00</w:t>
      </w:r>
      <w:r w:rsidRPr="002965A1">
        <w:t xml:space="preserve">, </w:t>
      </w:r>
      <w:r w:rsidRPr="002965A1">
        <w:rPr>
          <w:rFonts w:eastAsia="HiddenHorzOCR"/>
        </w:rPr>
        <w:t xml:space="preserve">-Kč </w:t>
      </w:r>
      <w:r w:rsidRPr="002965A1">
        <w:t xml:space="preserve">za každou </w:t>
      </w:r>
      <w:r>
        <w:t xml:space="preserve">i </w:t>
      </w:r>
      <w:r w:rsidRPr="002965A1">
        <w:rPr>
          <w:rFonts w:eastAsia="HiddenHorzOCR"/>
        </w:rPr>
        <w:t xml:space="preserve">započatou </w:t>
      </w:r>
      <w:r w:rsidRPr="002965A1">
        <w:t>hodinu prodlení.</w:t>
      </w:r>
    </w:p>
    <w:p w:rsidR="00847BD5" w:rsidRPr="005B5760" w:rsidRDefault="00847BD5" w:rsidP="00983B5D">
      <w:pPr>
        <w:pStyle w:val="Nadpis2"/>
      </w:pPr>
      <w:r w:rsidRPr="002965A1">
        <w:t xml:space="preserve">V </w:t>
      </w:r>
      <w:r w:rsidRPr="002965A1">
        <w:rPr>
          <w:rFonts w:eastAsia="HiddenHorzOCR"/>
        </w:rPr>
        <w:t xml:space="preserve">případě </w:t>
      </w:r>
      <w:r w:rsidRPr="002965A1">
        <w:t>nedodržení smluvní doby k</w:t>
      </w:r>
      <w:r w:rsidRPr="005B5760">
        <w:rPr>
          <w:rFonts w:eastAsia="HiddenHorzOCR"/>
        </w:rPr>
        <w:t xml:space="preserve"> </w:t>
      </w:r>
      <w:r w:rsidRPr="00D8432F">
        <w:rPr>
          <w:rFonts w:eastAsia="HiddenHorzOCR"/>
        </w:rPr>
        <w:t xml:space="preserve">odstranění </w:t>
      </w:r>
      <w:r>
        <w:t xml:space="preserve">závad </w:t>
      </w:r>
      <w:r w:rsidRPr="00D8432F">
        <w:t xml:space="preserve">v </w:t>
      </w:r>
      <w:r w:rsidRPr="00D8432F">
        <w:rPr>
          <w:rFonts w:eastAsia="HiddenHorzOCR"/>
        </w:rPr>
        <w:t xml:space="preserve">záruční </w:t>
      </w:r>
      <w:r>
        <w:rPr>
          <w:rFonts w:eastAsia="HiddenHorzOCR"/>
        </w:rPr>
        <w:t>lhůtě i pozáruční době bez řádného odůvodnění prodávajícím a schválení kupujícím</w:t>
      </w:r>
      <w:r w:rsidRPr="005B5760">
        <w:rPr>
          <w:rFonts w:eastAsia="HiddenHorzOCR"/>
        </w:rPr>
        <w:t xml:space="preserve"> </w:t>
      </w:r>
      <w:r>
        <w:rPr>
          <w:rFonts w:eastAsia="HiddenHorzOCR"/>
        </w:rPr>
        <w:t xml:space="preserve">se sjednává </w:t>
      </w:r>
      <w:r>
        <w:t xml:space="preserve">smluvní pokuta </w:t>
      </w:r>
      <w:r w:rsidRPr="005B5760">
        <w:rPr>
          <w:b/>
          <w:bCs/>
        </w:rPr>
        <w:t>500</w:t>
      </w:r>
      <w:r w:rsidRPr="002965A1">
        <w:t>,</w:t>
      </w:r>
      <w:r w:rsidRPr="002965A1">
        <w:rPr>
          <w:rFonts w:eastAsia="HiddenHorzOCR"/>
        </w:rPr>
        <w:t>-</w:t>
      </w:r>
      <w:r>
        <w:rPr>
          <w:rFonts w:eastAsia="HiddenHorzOCR"/>
        </w:rPr>
        <w:t xml:space="preserve"> </w:t>
      </w:r>
      <w:r w:rsidRPr="002965A1">
        <w:rPr>
          <w:rFonts w:eastAsia="HiddenHorzOCR"/>
        </w:rPr>
        <w:t xml:space="preserve">Kč </w:t>
      </w:r>
      <w:r w:rsidRPr="002965A1">
        <w:t xml:space="preserve">za každou </w:t>
      </w:r>
      <w:r>
        <w:t xml:space="preserve">i </w:t>
      </w:r>
      <w:r w:rsidRPr="002965A1">
        <w:rPr>
          <w:rFonts w:eastAsia="HiddenHorzOCR"/>
        </w:rPr>
        <w:t xml:space="preserve">započatou </w:t>
      </w:r>
      <w:r w:rsidRPr="002965A1">
        <w:t>hodinu prodlen</w:t>
      </w:r>
      <w:r>
        <w:t>í.</w:t>
      </w:r>
    </w:p>
    <w:p w:rsidR="00847BD5" w:rsidRDefault="00847BD5" w:rsidP="00983B5D">
      <w:pPr>
        <w:pStyle w:val="Nadpis2"/>
      </w:pPr>
      <w:r>
        <w:t xml:space="preserve">Dostane-li se prodávající do prodlení se splněním dodací lhůty dle bodu </w:t>
      </w:r>
      <w:r w:rsidR="00B71E1E">
        <w:t>3</w:t>
      </w:r>
      <w:r>
        <w:t xml:space="preserve">.1 této smlouvy, je povinen zaplatit kupujícímu smluvní pokutu ve výši </w:t>
      </w:r>
      <w:r w:rsidRPr="005B5760">
        <w:rPr>
          <w:b/>
          <w:bCs/>
        </w:rPr>
        <w:t>0,</w:t>
      </w:r>
      <w:r w:rsidR="001708A7">
        <w:rPr>
          <w:b/>
          <w:bCs/>
        </w:rPr>
        <w:t>1</w:t>
      </w:r>
      <w:r>
        <w:t xml:space="preserve">% z nabídkové ceny </w:t>
      </w:r>
      <w:r w:rsidR="009E09AD">
        <w:t>(</w:t>
      </w:r>
      <w:r w:rsidR="000304CD">
        <w:t>bez DPH</w:t>
      </w:r>
      <w:r w:rsidR="009E09AD">
        <w:t xml:space="preserve">) </w:t>
      </w:r>
      <w:r w:rsidR="00896BBD">
        <w:t>předmětu smlouvy</w:t>
      </w:r>
      <w:r>
        <w:t xml:space="preserve"> za každý i započatý den prodlení. Uplatněnou smluvní pokutu je kupující oprávněn započíst na pohledávku prodávajícího na kupní cenu dle </w:t>
      </w:r>
      <w:r w:rsidR="00914672">
        <w:t>této</w:t>
      </w:r>
      <w:r>
        <w:t xml:space="preserve"> smlouvy, a to současnou i v budoucnu vzniklou. Vznikem povinnosti hradit smluvní pokutu ani jejím zaplacením není dotčen nárok kupujícího na náhradu škody </w:t>
      </w:r>
      <w:r w:rsidR="00267A1B">
        <w:t>(kupující</w:t>
      </w:r>
      <w:r w:rsidR="00267A1B" w:rsidRPr="00267A1B">
        <w:t xml:space="preserve"> má </w:t>
      </w:r>
      <w:r w:rsidR="00267A1B">
        <w:t xml:space="preserve">však </w:t>
      </w:r>
      <w:r w:rsidR="00267A1B" w:rsidRPr="00267A1B">
        <w:t>právo na náhradu škody pouze ve výši přesahující smluvní pokutu</w:t>
      </w:r>
      <w:r w:rsidR="00267A1B">
        <w:t>)</w:t>
      </w:r>
      <w:r>
        <w:t xml:space="preserve"> ani na odstoupení od této smlouvy.</w:t>
      </w:r>
    </w:p>
    <w:p w:rsidR="00847BD5" w:rsidRDefault="00847BD5" w:rsidP="00983B5D">
      <w:pPr>
        <w:pStyle w:val="Nadpis2"/>
      </w:pPr>
      <w:r>
        <w:t xml:space="preserve">Při prodlení kupujícího se zaplacením kupní ceny se sjednává úrok z prodlení ve výši </w:t>
      </w:r>
      <w:r w:rsidRPr="005B5760">
        <w:rPr>
          <w:b/>
          <w:bCs/>
        </w:rPr>
        <w:t>0,01</w:t>
      </w:r>
      <w:r>
        <w:t>% z fakturované částky (bez DPH) za každý i započatý den prodlení.</w:t>
      </w:r>
    </w:p>
    <w:p w:rsidR="0043657C" w:rsidRPr="0043657C" w:rsidRDefault="00E57C95" w:rsidP="004E33C3">
      <w:pPr>
        <w:pStyle w:val="Nadpis2"/>
      </w:pPr>
      <w:r w:rsidRPr="002965A1">
        <w:t xml:space="preserve">V </w:t>
      </w:r>
      <w:r w:rsidRPr="002965A1">
        <w:rPr>
          <w:rFonts w:eastAsia="HiddenHorzOCR"/>
        </w:rPr>
        <w:t xml:space="preserve">případě </w:t>
      </w:r>
      <w:r w:rsidRPr="002965A1">
        <w:t xml:space="preserve">nedodržení smluvní doby </w:t>
      </w:r>
      <w:r>
        <w:t xml:space="preserve">fyzické dostupnosti náhradního dílu dle bodu </w:t>
      </w:r>
      <w:r w:rsidR="004E257A">
        <w:t>9.</w:t>
      </w:r>
      <w:r w:rsidR="006112A8">
        <w:t>9</w:t>
      </w:r>
      <w:r>
        <w:t xml:space="preserve"> této smlouvy</w:t>
      </w:r>
      <w:r w:rsidRPr="00E57C95">
        <w:rPr>
          <w:rFonts w:eastAsia="HiddenHorzOCR"/>
        </w:rPr>
        <w:t xml:space="preserve"> </w:t>
      </w:r>
      <w:r>
        <w:rPr>
          <w:rFonts w:eastAsia="HiddenHorzOCR"/>
        </w:rPr>
        <w:t xml:space="preserve">se sjednává </w:t>
      </w:r>
      <w:r>
        <w:t xml:space="preserve">smluvní pokuta </w:t>
      </w:r>
      <w:r w:rsidR="004E257A">
        <w:rPr>
          <w:b/>
          <w:bCs/>
        </w:rPr>
        <w:t>1.0</w:t>
      </w:r>
      <w:r w:rsidRPr="005B5760">
        <w:rPr>
          <w:b/>
          <w:bCs/>
        </w:rPr>
        <w:t>00</w:t>
      </w:r>
      <w:r w:rsidRPr="002965A1">
        <w:t xml:space="preserve">, </w:t>
      </w:r>
      <w:r w:rsidRPr="002965A1">
        <w:rPr>
          <w:rFonts w:eastAsia="HiddenHorzOCR"/>
        </w:rPr>
        <w:t xml:space="preserve">-Kč </w:t>
      </w:r>
      <w:r w:rsidRPr="002965A1">
        <w:t xml:space="preserve">za každou </w:t>
      </w:r>
      <w:r>
        <w:t xml:space="preserve">i </w:t>
      </w:r>
      <w:r w:rsidRPr="002965A1">
        <w:rPr>
          <w:rFonts w:eastAsia="HiddenHorzOCR"/>
        </w:rPr>
        <w:t xml:space="preserve">započatou </w:t>
      </w:r>
      <w:r w:rsidRPr="002965A1">
        <w:t>hodinu prodlení.</w:t>
      </w:r>
    </w:p>
    <w:p w:rsidR="00847BD5" w:rsidRDefault="00847BD5" w:rsidP="0027308F">
      <w:pPr>
        <w:pStyle w:val="Nadpis1"/>
      </w:pPr>
      <w:r>
        <w:t>Další ujedn</w:t>
      </w:r>
      <w:r w:rsidR="00261786">
        <w:t>á</w:t>
      </w:r>
      <w:r>
        <w:t>ní</w:t>
      </w:r>
    </w:p>
    <w:p w:rsidR="00847BD5" w:rsidRDefault="00847BD5" w:rsidP="00983B5D">
      <w:pPr>
        <w:pStyle w:val="Nadpis2"/>
      </w:pPr>
      <w:r w:rsidRPr="0029718F">
        <w:rPr>
          <w:rStyle w:val="Nadpis2Char"/>
        </w:rPr>
        <w:t>V rámci plnění předmětu této smlouvy prodávající bezplatn</w:t>
      </w:r>
      <w:r w:rsidR="009759B7">
        <w:rPr>
          <w:rStyle w:val="Nadpis2Char"/>
        </w:rPr>
        <w:t>ě</w:t>
      </w:r>
      <w:r w:rsidRPr="0029718F">
        <w:rPr>
          <w:rStyle w:val="Nadpis2Char"/>
        </w:rPr>
        <w:t xml:space="preserve"> zajist</w:t>
      </w:r>
      <w:r w:rsidR="00B71E1E">
        <w:rPr>
          <w:rStyle w:val="Nadpis2Char"/>
        </w:rPr>
        <w:t>í</w:t>
      </w:r>
      <w:r w:rsidRPr="0029718F">
        <w:rPr>
          <w:rStyle w:val="Nadpis2Char"/>
        </w:rPr>
        <w:t xml:space="preserve"> proškolení zaměstnanců kupujícího v</w:t>
      </w:r>
      <w:r>
        <w:t xml:space="preserve"> základních otázkách pravidelné a běžné údržby </w:t>
      </w:r>
      <w:r w:rsidR="0000447C">
        <w:t>systému</w:t>
      </w:r>
      <w:r w:rsidR="00896BBD">
        <w:t>, je</w:t>
      </w:r>
      <w:r>
        <w:t>h</w:t>
      </w:r>
      <w:r w:rsidR="00896BBD">
        <w:t>o</w:t>
      </w:r>
      <w:r>
        <w:t>ž dodávka je předmětem této smlouvy (pravidelné prohlídky, intervaly výměn a typy provozních n</w:t>
      </w:r>
      <w:r w:rsidR="00261786">
        <w:t>á</w:t>
      </w:r>
      <w:r>
        <w:t>plní, výměny základních opotřebitelných dílů, určov</w:t>
      </w:r>
      <w:r w:rsidR="00261786">
        <w:t>á</w:t>
      </w:r>
      <w:r>
        <w:t>ní a odstraňování elementárních poruch), včetně dodání dvou kusů manuálu (dílenských příruček) vztažených k výše uvedenému tématu.</w:t>
      </w:r>
      <w:r w:rsidR="00914672">
        <w:t xml:space="preserve"> Termín a rozsah školení bude navržen prodávajícím a musí být schválen kupujícím. Následně kupující stanoví počet a jména osob, které se školení zúčastní.</w:t>
      </w:r>
    </w:p>
    <w:p w:rsidR="00B71E1E" w:rsidRDefault="00B71E1E" w:rsidP="00983B5D">
      <w:pPr>
        <w:pStyle w:val="Nadpis2"/>
      </w:pPr>
      <w:r>
        <w:t>Komunikací v záležitostech předmětu smlouvy jsou pověřeny kontaktní osoby uvedené ve čl. 1 této smlouvy.</w:t>
      </w:r>
    </w:p>
    <w:p w:rsidR="00C3120C" w:rsidRPr="00C3120C" w:rsidRDefault="00C3120C" w:rsidP="00983B5D">
      <w:pPr>
        <w:pStyle w:val="Nadpis2"/>
      </w:pPr>
      <w:r w:rsidRPr="00C3120C">
        <w:t>Je-li vadné plnění podstatným porušením smlouvy, má kupující právo na</w:t>
      </w:r>
    </w:p>
    <w:p w:rsidR="00C3120C" w:rsidRPr="00C3120C" w:rsidRDefault="00C3120C" w:rsidP="004D264C">
      <w:pPr>
        <w:pStyle w:val="Nadpis3"/>
      </w:pPr>
      <w:r w:rsidRPr="00425B9B">
        <w:t>odstranění</w:t>
      </w:r>
      <w:r w:rsidR="001B07AF">
        <w:t xml:space="preserve"> vady </w:t>
      </w:r>
      <w:r w:rsidRPr="00C3120C">
        <w:t>dodání</w:t>
      </w:r>
      <w:r w:rsidR="001B07AF">
        <w:t>m</w:t>
      </w:r>
      <w:r w:rsidRPr="00C3120C">
        <w:t xml:space="preserve"> nové nebo chybějící věci,</w:t>
      </w:r>
    </w:p>
    <w:p w:rsidR="00C3120C" w:rsidRPr="00C3120C" w:rsidRDefault="00C3120C" w:rsidP="004D264C">
      <w:pPr>
        <w:pStyle w:val="Nadpis3"/>
      </w:pPr>
      <w:r w:rsidRPr="00C3120C">
        <w:t>opravu věci,</w:t>
      </w:r>
    </w:p>
    <w:p w:rsidR="001B07AF" w:rsidRDefault="00C3120C" w:rsidP="004D264C">
      <w:pPr>
        <w:pStyle w:val="Nadpis3"/>
      </w:pPr>
      <w:r w:rsidRPr="00983B5D">
        <w:t>odstoupit</w:t>
      </w:r>
      <w:r w:rsidRPr="00C3120C">
        <w:t xml:space="preserve"> od smlouvy</w:t>
      </w:r>
    </w:p>
    <w:p w:rsidR="00C3120C" w:rsidRPr="00C3120C" w:rsidRDefault="001B07AF" w:rsidP="004D264C">
      <w:pPr>
        <w:pStyle w:val="Nadpis3"/>
      </w:pPr>
      <w:r w:rsidRPr="001B07AF">
        <w:t>přiměřen</w:t>
      </w:r>
      <w:r>
        <w:t>ou</w:t>
      </w:r>
      <w:r w:rsidRPr="001B07AF">
        <w:t xml:space="preserve"> slev</w:t>
      </w:r>
      <w:r>
        <w:t>u</w:t>
      </w:r>
      <w:r w:rsidRPr="001B07AF">
        <w:t xml:space="preserve"> z kupní ceny</w:t>
      </w:r>
      <w:r w:rsidR="00C3120C" w:rsidRPr="00C3120C">
        <w:t>.</w:t>
      </w:r>
    </w:p>
    <w:p w:rsidR="005845ED" w:rsidRDefault="005845ED" w:rsidP="004716EB">
      <w:pPr>
        <w:pStyle w:val="Nadpis2"/>
        <w:keepNext/>
        <w:ind w:left="578" w:hanging="578"/>
      </w:pPr>
      <w:r>
        <w:t>Za podstatné porušení smlouvy je považováno především</w:t>
      </w:r>
    </w:p>
    <w:p w:rsidR="005845ED" w:rsidRDefault="005845ED" w:rsidP="004D264C">
      <w:pPr>
        <w:pStyle w:val="Nadpis3"/>
      </w:pPr>
      <w:r w:rsidRPr="005845ED">
        <w:t xml:space="preserve">nedodání </w:t>
      </w:r>
      <w:r>
        <w:t xml:space="preserve">kompletního předmětu této smlouvy </w:t>
      </w:r>
      <w:r w:rsidRPr="005845ED">
        <w:t xml:space="preserve">v termínu delším než </w:t>
      </w:r>
      <w:r>
        <w:t>30</w:t>
      </w:r>
      <w:r w:rsidRPr="005845ED">
        <w:t xml:space="preserve"> dní</w:t>
      </w:r>
      <w:r>
        <w:t xml:space="preserve"> po uplynutí smluvní dodací lhůty uvedené v bodě 3.1 této smlouvy</w:t>
      </w:r>
      <w:r w:rsidRPr="005845ED">
        <w:t xml:space="preserve">, </w:t>
      </w:r>
    </w:p>
    <w:p w:rsidR="00C003DB" w:rsidRDefault="00557264" w:rsidP="004D264C">
      <w:pPr>
        <w:pStyle w:val="Nadpis3"/>
      </w:pPr>
      <w:r>
        <w:t xml:space="preserve">dodání </w:t>
      </w:r>
      <w:r w:rsidR="005845ED" w:rsidRPr="005845ED">
        <w:t>předmět</w:t>
      </w:r>
      <w:r>
        <w:t>u</w:t>
      </w:r>
      <w:r w:rsidR="005845ED" w:rsidRPr="005845ED">
        <w:t xml:space="preserve"> smlouvy</w:t>
      </w:r>
      <w:r>
        <w:t>, který</w:t>
      </w:r>
      <w:r w:rsidR="005845ED" w:rsidRPr="005845ED">
        <w:t xml:space="preserve"> nemá vlastnosti</w:t>
      </w:r>
      <w:r w:rsidR="00C003DB">
        <w:t xml:space="preserve"> definované zadávacími podmínkami </w:t>
      </w:r>
      <w:r w:rsidR="00375F3F">
        <w:t>výše uvedené VZ</w:t>
      </w:r>
      <w:r w:rsidR="005845ED" w:rsidRPr="005845ED">
        <w:t xml:space="preserve">, </w:t>
      </w:r>
      <w:r w:rsidR="00C003DB">
        <w:t>příslušnými právními předpisy nebo touto smlouvou,</w:t>
      </w:r>
    </w:p>
    <w:p w:rsidR="005845ED" w:rsidRDefault="00C003DB" w:rsidP="004D264C">
      <w:pPr>
        <w:pStyle w:val="Nadpis3"/>
      </w:pPr>
      <w:r>
        <w:t xml:space="preserve">uvedení </w:t>
      </w:r>
      <w:r w:rsidR="005845ED" w:rsidRPr="005845ED">
        <w:t>nepravdiv</w:t>
      </w:r>
      <w:r>
        <w:t>ých</w:t>
      </w:r>
      <w:r w:rsidR="005845ED" w:rsidRPr="005845ED">
        <w:t xml:space="preserve"> údaj</w:t>
      </w:r>
      <w:r>
        <w:t>ů</w:t>
      </w:r>
      <w:r w:rsidR="005845ED" w:rsidRPr="005845ED">
        <w:t xml:space="preserve"> v nabídce na </w:t>
      </w:r>
      <w:r w:rsidR="00375F3F">
        <w:t>výše uvedenou VZ</w:t>
      </w:r>
      <w:r>
        <w:t>.</w:t>
      </w:r>
    </w:p>
    <w:p w:rsidR="00C3120C" w:rsidRPr="00C3120C" w:rsidRDefault="00C3120C" w:rsidP="00983B5D">
      <w:pPr>
        <w:pStyle w:val="Nadpis2"/>
      </w:pPr>
      <w:r w:rsidRPr="00C3120C">
        <w:t>Po oznámení vady nebo bez zbytečného odkladu kupující sdělí prodávajícímu, jaké výše uvedené právo si zvolil. Pokud toto kupující neučiní, náleží mu práva jako při nepodstatném porušení smlouvy.</w:t>
      </w:r>
    </w:p>
    <w:p w:rsidR="00C3120C" w:rsidRPr="00C3120C" w:rsidRDefault="00C3120C" w:rsidP="00983B5D">
      <w:pPr>
        <w:pStyle w:val="Nadpis2"/>
      </w:pPr>
      <w:r w:rsidRPr="00C3120C">
        <w:t>Při nepodstatném porušení smlouvy má kupující právo na odstranění vady nebo na přiměřenou slevu z kupní ceny.</w:t>
      </w:r>
    </w:p>
    <w:p w:rsidR="00C3120C" w:rsidRPr="00C3120C" w:rsidRDefault="00C3120C" w:rsidP="00983B5D">
      <w:pPr>
        <w:pStyle w:val="Nadpis2"/>
      </w:pPr>
      <w:r w:rsidRPr="00C3120C">
        <w:t>Neodstraní-li prodávající vadu věci včas nebo ji odmítne odstranit, může kupující požadovat slevu z kupní ceny nebo od smlouvy odstoupit.</w:t>
      </w:r>
    </w:p>
    <w:p w:rsidR="00C3120C" w:rsidRDefault="0099380B" w:rsidP="00983B5D">
      <w:pPr>
        <w:pStyle w:val="Nadpis2"/>
        <w:rPr>
          <w:b/>
          <w:bCs/>
        </w:rPr>
      </w:pPr>
      <w:r>
        <w:t>Prodávající se zavazuje zajišťovat</w:t>
      </w:r>
      <w:r w:rsidRPr="0099380B">
        <w:t xml:space="preserve"> náhradní</w:t>
      </w:r>
      <w:r>
        <w:t xml:space="preserve"> díly</w:t>
      </w:r>
      <w:r w:rsidRPr="0099380B">
        <w:t xml:space="preserve"> </w:t>
      </w:r>
      <w:r>
        <w:t xml:space="preserve">pro </w:t>
      </w:r>
      <w:r w:rsidR="00896BBD">
        <w:t>nabízen</w:t>
      </w:r>
      <w:r w:rsidR="009C778C">
        <w:t>ý systém</w:t>
      </w:r>
      <w:r>
        <w:t xml:space="preserve"> </w:t>
      </w:r>
      <w:r w:rsidRPr="0099380B">
        <w:t xml:space="preserve">skladem po dobu </w:t>
      </w:r>
      <w:r w:rsidRPr="00960578">
        <w:rPr>
          <w:b/>
          <w:bCs/>
        </w:rPr>
        <w:t xml:space="preserve">min. </w:t>
      </w:r>
      <w:r w:rsidR="00960578" w:rsidRPr="00960578">
        <w:rPr>
          <w:b/>
          <w:bCs/>
        </w:rPr>
        <w:t>7</w:t>
      </w:r>
      <w:r w:rsidRPr="00960578">
        <w:rPr>
          <w:b/>
          <w:bCs/>
        </w:rPr>
        <w:t xml:space="preserve"> let</w:t>
      </w:r>
      <w:r w:rsidRPr="0099380B">
        <w:t xml:space="preserve"> od data uzavření smlouvy</w:t>
      </w:r>
      <w:r w:rsidRPr="0099380B">
        <w:rPr>
          <w:b/>
          <w:bCs/>
        </w:rPr>
        <w:t>.</w:t>
      </w:r>
      <w:r w:rsidR="0043657C" w:rsidRPr="0043657C">
        <w:rPr>
          <w:lang w:eastAsia="cs-CZ"/>
        </w:rPr>
        <w:t xml:space="preserve"> </w:t>
      </w:r>
    </w:p>
    <w:p w:rsidR="009873D2" w:rsidRDefault="009873D2" w:rsidP="00267A1B">
      <w:pPr>
        <w:pStyle w:val="Nadpis2"/>
      </w:pPr>
      <w:r w:rsidRPr="009873D2">
        <w:t>Prodávající se zavazuje</w:t>
      </w:r>
      <w:r>
        <w:t xml:space="preserve"> udržovat v platnosti </w:t>
      </w:r>
      <w:r w:rsidRPr="009873D2">
        <w:t>pojistn</w:t>
      </w:r>
      <w:r>
        <w:t>ou</w:t>
      </w:r>
      <w:r w:rsidRPr="009873D2">
        <w:t xml:space="preserve"> smlouv</w:t>
      </w:r>
      <w:r>
        <w:t>u</w:t>
      </w:r>
      <w:r w:rsidRPr="009873D2">
        <w:t>, jejímž předmětem je pojištění odpovědnosti za škodu způsobenou dodavatelem třetí osobě v min. výši pojistného krytí</w:t>
      </w:r>
      <w:r w:rsidRPr="009873D2">
        <w:rPr>
          <w:b/>
          <w:bCs/>
        </w:rPr>
        <w:t xml:space="preserve"> </w:t>
      </w:r>
      <w:r w:rsidR="00DA447D" w:rsidRPr="00A47480">
        <w:rPr>
          <w:b/>
          <w:bCs/>
        </w:rPr>
        <w:t>10</w:t>
      </w:r>
      <w:r w:rsidRPr="00A47480">
        <w:rPr>
          <w:b/>
          <w:bCs/>
        </w:rPr>
        <w:t xml:space="preserve"> mil. Kč</w:t>
      </w:r>
      <w:r w:rsidRPr="00A47480">
        <w:rPr>
          <w:bCs/>
        </w:rPr>
        <w:t>,</w:t>
      </w:r>
      <w:bookmarkStart w:id="0" w:name="_GoBack"/>
      <w:bookmarkEnd w:id="0"/>
      <w:r w:rsidRPr="009873D2">
        <w:rPr>
          <w:bCs/>
        </w:rPr>
        <w:t xml:space="preserve"> po</w:t>
      </w:r>
      <w:r>
        <w:rPr>
          <w:bCs/>
        </w:rPr>
        <w:t xml:space="preserve"> dobu min. 5 let od podpisu smlouvy oběma smluvními stranami.</w:t>
      </w:r>
    </w:p>
    <w:p w:rsidR="00267A1B" w:rsidRPr="00267A1B" w:rsidRDefault="0032303A" w:rsidP="00267A1B">
      <w:pPr>
        <w:pStyle w:val="Nadpis2"/>
      </w:pPr>
      <w:r>
        <w:t>Kupující</w:t>
      </w:r>
      <w:r w:rsidR="00887870" w:rsidRPr="00887870">
        <w:t xml:space="preserve"> </w:t>
      </w:r>
      <w:r w:rsidR="00887870">
        <w:t xml:space="preserve">je </w:t>
      </w:r>
      <w:r w:rsidR="00887870" w:rsidRPr="00887870">
        <w:t>povinen poskytovat informace a dokumentaci oprávněným orgánům, tj. po dobu 10</w:t>
      </w:r>
      <w:r w:rsidR="00887870">
        <w:t xml:space="preserve"> </w:t>
      </w:r>
      <w:r w:rsidR="00887870" w:rsidRPr="00887870">
        <w:t>let</w:t>
      </w:r>
      <w:r w:rsidR="00887870">
        <w:t xml:space="preserve">. </w:t>
      </w:r>
      <w:r w:rsidR="00267A1B">
        <w:t xml:space="preserve">Prodávající se zavazuje poskytnout </w:t>
      </w:r>
      <w:r>
        <w:t>kupujícímu</w:t>
      </w:r>
      <w:r w:rsidR="00887870">
        <w:t xml:space="preserve"> </w:t>
      </w:r>
      <w:r w:rsidR="00267A1B">
        <w:t xml:space="preserve">součinnost při provádění </w:t>
      </w:r>
      <w:r w:rsidR="00887870">
        <w:t>úkonů spojených s činnostmi uvedenými v předchozí větě</w:t>
      </w:r>
      <w:r w:rsidR="00267A1B">
        <w:t>.</w:t>
      </w:r>
    </w:p>
    <w:p w:rsidR="00847BD5" w:rsidRDefault="00847BD5" w:rsidP="0027308F">
      <w:pPr>
        <w:pStyle w:val="Nadpis1"/>
      </w:pPr>
      <w:r>
        <w:t>Závěrečná ustanoven</w:t>
      </w:r>
      <w:r w:rsidR="00261786">
        <w:t>í</w:t>
      </w:r>
    </w:p>
    <w:p w:rsidR="00B66B9D" w:rsidRDefault="00B66B9D" w:rsidP="00B66B9D">
      <w:pPr>
        <w:pStyle w:val="Nadpis2"/>
      </w:pPr>
      <w:r>
        <w:t>Práva a povinnosti touto smlouvou výslovně neupravené se řídí příslušnými ustanoveními NOZ, zejména ustanoveními § 2085 NOZ o koupi movité věci, a dále zákonem č. 134/2016 Sb., o zadávání veřejných zakázek ve znění pozdějších předpisů (dále jen „ZZVZ“).</w:t>
      </w:r>
    </w:p>
    <w:p w:rsidR="00B66B9D" w:rsidRDefault="00B66B9D" w:rsidP="00B66B9D">
      <w:pPr>
        <w:pStyle w:val="Nadpis2"/>
      </w:pPr>
      <w:r>
        <w:t>Tuto smlouvu lze měnit a doplňovat pouze formou písemných vzestupně číslovaných dodatku podepsaných oběma smluvními stranami. Změny smlouvy jsou přípustné jen v těch záležitostech, které nebyly předmětem zadání veřejné zakázky.</w:t>
      </w:r>
    </w:p>
    <w:p w:rsidR="00B66B9D" w:rsidRDefault="00B66B9D" w:rsidP="00B66B9D">
      <w:pPr>
        <w:pStyle w:val="Nadpis2"/>
      </w:pPr>
      <w:r>
        <w:t xml:space="preserve">Tato smlouva nabývá platnosti dnem jejího podpisu oběma smluvními stranami a účinnosti dnem uveřejnění v registru smluv. Smlouva je vyhotovena ve </w:t>
      </w:r>
      <w:r w:rsidR="00657BCC">
        <w:t>3</w:t>
      </w:r>
      <w:r>
        <w:t xml:space="preserve"> stejnopisech s platností originálu, z</w:t>
      </w:r>
      <w:r w:rsidR="00657BCC">
        <w:t> </w:t>
      </w:r>
      <w:r>
        <w:t>nichž</w:t>
      </w:r>
      <w:r w:rsidR="00657BCC">
        <w:t xml:space="preserve"> kupující obdrží 2 vyhotovení a prodávající 1 vyhotovení</w:t>
      </w:r>
      <w:r>
        <w:t>.</w:t>
      </w:r>
    </w:p>
    <w:p w:rsidR="00B66B9D" w:rsidRDefault="00B66B9D" w:rsidP="00B66B9D">
      <w:pPr>
        <w:pStyle w:val="Nadpis2"/>
      </w:pPr>
      <w:r>
        <w:t xml:space="preserve">Nedílnou součásti této smlouvy je technická </w:t>
      </w:r>
      <w:r w:rsidRPr="007A52A1">
        <w:t>specifikace předmětu koupě</w:t>
      </w:r>
      <w:r>
        <w:t xml:space="preserve"> sestavená prodávajícím v souladu s požadavky zadávací dokumentace kupujícího.</w:t>
      </w:r>
    </w:p>
    <w:p w:rsidR="00B66B9D" w:rsidRPr="007550E8" w:rsidRDefault="00511DDB" w:rsidP="00B66B9D">
      <w:pPr>
        <w:pStyle w:val="Nadpis2"/>
      </w:pPr>
      <w:r>
        <w:t>Smluvní strany prohlašují, že</w:t>
      </w:r>
      <w:r w:rsidR="00B66B9D" w:rsidRPr="00DD5358">
        <w:t xml:space="preserve"> skutečnosti uvedené v této smlouvě nepova</w:t>
      </w:r>
      <w:r w:rsidR="00B66B9D">
        <w:t>ž</w:t>
      </w:r>
      <w:r w:rsidR="00B66B9D" w:rsidRPr="00DD5358">
        <w:t>uj</w:t>
      </w:r>
      <w:r w:rsidR="00B66B9D">
        <w:t>í</w:t>
      </w:r>
      <w:r w:rsidR="00B66B9D" w:rsidRPr="00DD5358">
        <w:t xml:space="preserve"> za</w:t>
      </w:r>
      <w:r w:rsidR="00B66B9D">
        <w:t xml:space="preserve"> obchodní tajemství ve smyslu §</w:t>
      </w:r>
      <w:r w:rsidR="00B66B9D" w:rsidRPr="00DD5358">
        <w:t>504 NOZ a ud</w:t>
      </w:r>
      <w:r w:rsidR="00B66B9D">
        <w:t>ělují svolení k jejich užití</w:t>
      </w:r>
      <w:r w:rsidR="00B66B9D" w:rsidRPr="00DD5358">
        <w:t xml:space="preserve"> a zveřejnění v plném rozsahu bez stanove</w:t>
      </w:r>
      <w:r w:rsidR="00B66B9D">
        <w:t>ní jakýchkoliv dalších podmínek, příp. je</w:t>
      </w:r>
      <w:r w:rsidR="00B66B9D" w:rsidRPr="00E07420">
        <w:t xml:space="preserve"> </w:t>
      </w:r>
      <w:r w:rsidR="00B66B9D">
        <w:t>prodávající</w:t>
      </w:r>
      <w:r w:rsidR="00B66B9D" w:rsidRPr="00E07420">
        <w:t xml:space="preserve"> </w:t>
      </w:r>
      <w:r w:rsidR="00B66B9D">
        <w:t>povinen</w:t>
      </w:r>
      <w:r w:rsidR="00B66B9D" w:rsidRPr="00E07420">
        <w:t xml:space="preserve"> označit části</w:t>
      </w:r>
      <w:r w:rsidR="00B66B9D">
        <w:t xml:space="preserve"> této smlouvy</w:t>
      </w:r>
      <w:r w:rsidR="00B66B9D" w:rsidRPr="00E07420">
        <w:t xml:space="preserve">, </w:t>
      </w:r>
      <w:r w:rsidR="00B66B9D">
        <w:t>které</w:t>
      </w:r>
      <w:r w:rsidR="00B66B9D" w:rsidRPr="00E07420">
        <w:t xml:space="preserve"> </w:t>
      </w:r>
      <w:r w:rsidR="00B66B9D">
        <w:t>považuje</w:t>
      </w:r>
      <w:r w:rsidR="00B66B9D" w:rsidRPr="00E07420">
        <w:t xml:space="preserve"> za obchodní tajemství</w:t>
      </w:r>
      <w:r w:rsidR="00B66B9D">
        <w:t>.</w:t>
      </w:r>
    </w:p>
    <w:p w:rsidR="00B66B9D" w:rsidRPr="00365E9D" w:rsidRDefault="00B66B9D" w:rsidP="00B66B9D">
      <w:pPr>
        <w:pStyle w:val="Nadpis2"/>
      </w:pPr>
      <w:r>
        <w:t>Obě smluvní strany souhlasí, že tato smlouva včetně všech jejích příloh, změn a dodatků bude uveřejněna</w:t>
      </w:r>
      <w:r w:rsidRPr="00BB7217">
        <w:t xml:space="preserve"> </w:t>
      </w:r>
      <w:r w:rsidRPr="00F60871">
        <w:t>v plném znění včetně všech obsažených údajů a informací</w:t>
      </w:r>
      <w:r>
        <w:t xml:space="preserve"> v registru smluv. Tím bude splněna povinnost uveřejnit smlouvu na profilu zadavatele v souladu s § 219 ZZVZ. Smlouvu k uveřejnění v registru smluv odešle kupující.</w:t>
      </w:r>
    </w:p>
    <w:p w:rsidR="00B66B9D" w:rsidRDefault="00B66B9D" w:rsidP="00B66B9D">
      <w:pPr>
        <w:pStyle w:val="Nadpis2"/>
      </w:pPr>
      <w:r>
        <w:t xml:space="preserve">Smluvní strany prohlašují, že si tuto smlouvu přečetly, její obsah je jim srozumitelný, a že tato smlouva byla mezi nimi uzavřena svobodně, vážně, nikoliv v tísni a za nápadně nevýhodných podmínek. Na důkaz souhlasu s obsahem smlouvy připojují níže své </w:t>
      </w:r>
      <w:r w:rsidRPr="000D68EA">
        <w:t>podpisy</w:t>
      </w:r>
      <w:r>
        <w:t>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4784"/>
      </w:tblGrid>
      <w:tr w:rsidR="00847BD5" w:rsidRPr="00E9654D">
        <w:tc>
          <w:tcPr>
            <w:tcW w:w="5070" w:type="dxa"/>
          </w:tcPr>
          <w:p w:rsidR="00847BD5" w:rsidRPr="00E9654D" w:rsidRDefault="00847BD5" w:rsidP="00425B9B">
            <w:pPr>
              <w:spacing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  za prodávajícího:</w:t>
            </w:r>
            <w:r w:rsidRPr="00E9654D">
              <w:rPr>
                <w:sz w:val="21"/>
                <w:szCs w:val="21"/>
              </w:rPr>
              <w:tab/>
            </w:r>
          </w:p>
        </w:tc>
        <w:tc>
          <w:tcPr>
            <w:tcW w:w="4784" w:type="dxa"/>
          </w:tcPr>
          <w:p w:rsidR="00847BD5" w:rsidRPr="00E9654D" w:rsidRDefault="00847BD5" w:rsidP="00425B9B">
            <w:pPr>
              <w:spacing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za kupujícího: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5F06AB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V_________________ dne ___. ___. 201</w:t>
            </w:r>
            <w:r w:rsidR="005F06AB">
              <w:rPr>
                <w:sz w:val="21"/>
                <w:szCs w:val="21"/>
              </w:rPr>
              <w:t>9</w:t>
            </w:r>
          </w:p>
        </w:tc>
        <w:tc>
          <w:tcPr>
            <w:tcW w:w="4784" w:type="dxa"/>
          </w:tcPr>
          <w:p w:rsidR="00847BD5" w:rsidRPr="00E9654D" w:rsidRDefault="00847BD5" w:rsidP="009C778C">
            <w:pPr>
              <w:spacing w:before="240" w:after="0"/>
              <w:jc w:val="left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 xml:space="preserve">V </w:t>
            </w:r>
            <w:r w:rsidR="009C778C">
              <w:rPr>
                <w:sz w:val="21"/>
                <w:szCs w:val="21"/>
              </w:rPr>
              <w:t>Horšovském Týně</w:t>
            </w:r>
            <w:r w:rsidRPr="00E9654D">
              <w:rPr>
                <w:sz w:val="21"/>
                <w:szCs w:val="21"/>
              </w:rPr>
              <w:t xml:space="preserve"> dne ___. ___. 201</w:t>
            </w:r>
            <w:r w:rsidR="005F06AB">
              <w:rPr>
                <w:sz w:val="21"/>
                <w:szCs w:val="21"/>
              </w:rPr>
              <w:t>9</w:t>
            </w:r>
          </w:p>
        </w:tc>
      </w:tr>
      <w:tr w:rsidR="00847BD5" w:rsidRPr="00E9654D">
        <w:tc>
          <w:tcPr>
            <w:tcW w:w="5070" w:type="dxa"/>
          </w:tcPr>
          <w:p w:rsidR="00847BD5" w:rsidRDefault="00847BD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  <w:p w:rsidR="009C778C" w:rsidRPr="00E9654D" w:rsidRDefault="009C778C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47BD5" w:rsidRPr="00E9654D" w:rsidRDefault="00847BD5" w:rsidP="00425B9B">
            <w:pPr>
              <w:spacing w:before="0" w:after="600"/>
              <w:jc w:val="left"/>
              <w:rPr>
                <w:sz w:val="21"/>
                <w:szCs w:val="21"/>
              </w:rPr>
            </w:pP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A7254D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 w:rsidRPr="00E9654D">
              <w:rPr>
                <w:b/>
                <w:bCs/>
                <w:sz w:val="21"/>
                <w:szCs w:val="21"/>
              </w:rPr>
              <w:t>---jméno a příjmení oprávněné osoby---</w:t>
            </w:r>
          </w:p>
        </w:tc>
        <w:tc>
          <w:tcPr>
            <w:tcW w:w="4784" w:type="dxa"/>
          </w:tcPr>
          <w:p w:rsidR="00847BD5" w:rsidRPr="00E9654D" w:rsidRDefault="005F06AB" w:rsidP="009C778C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</w:t>
            </w:r>
            <w:r w:rsidR="009C778C">
              <w:rPr>
                <w:b/>
                <w:bCs/>
                <w:sz w:val="21"/>
                <w:szCs w:val="21"/>
              </w:rPr>
              <w:t>Ing. Miluše Fousová</w:t>
            </w:r>
          </w:p>
        </w:tc>
      </w:tr>
      <w:tr w:rsidR="00847BD5" w:rsidRPr="00E9654D">
        <w:tc>
          <w:tcPr>
            <w:tcW w:w="5070" w:type="dxa"/>
          </w:tcPr>
          <w:p w:rsidR="00847BD5" w:rsidRPr="00E9654D" w:rsidRDefault="00847BD5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---funkce---</w:t>
            </w:r>
          </w:p>
          <w:p w:rsidR="00847BD5" w:rsidRPr="00E9654D" w:rsidRDefault="00847BD5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 w:rsidRPr="00E9654D">
              <w:rPr>
                <w:sz w:val="21"/>
                <w:szCs w:val="21"/>
              </w:rPr>
              <w:t>---název prodávajícího---</w:t>
            </w:r>
          </w:p>
          <w:p w:rsidR="00847BD5" w:rsidRPr="00E9654D" w:rsidRDefault="00847BD5" w:rsidP="005B5760">
            <w:pPr>
              <w:spacing w:before="0" w:after="0"/>
              <w:jc w:val="center"/>
              <w:rPr>
                <w:color w:val="FF0000"/>
                <w:sz w:val="21"/>
                <w:szCs w:val="21"/>
              </w:rPr>
            </w:pPr>
            <w:r w:rsidRPr="00E9654D">
              <w:rPr>
                <w:color w:val="FF0000"/>
                <w:sz w:val="21"/>
                <w:szCs w:val="21"/>
              </w:rPr>
              <w:t>(upraví prodávající)</w:t>
            </w:r>
          </w:p>
        </w:tc>
        <w:tc>
          <w:tcPr>
            <w:tcW w:w="4784" w:type="dxa"/>
          </w:tcPr>
          <w:p w:rsidR="00847BD5" w:rsidRPr="00E9654D" w:rsidRDefault="005F06AB" w:rsidP="00A7254D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9C778C" w:rsidRPr="009C778C">
              <w:rPr>
                <w:sz w:val="21"/>
                <w:szCs w:val="21"/>
              </w:rPr>
              <w:t>ředitelka</w:t>
            </w:r>
          </w:p>
          <w:p w:rsidR="00847BD5" w:rsidRPr="00E9654D" w:rsidRDefault="005F06AB" w:rsidP="005F06AB">
            <w:pPr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</w:t>
            </w:r>
            <w:r w:rsidR="009C778C" w:rsidRPr="009C778C">
              <w:rPr>
                <w:sz w:val="21"/>
                <w:szCs w:val="21"/>
              </w:rPr>
              <w:t>Střední odborná škola a Střední odborné učiliště, Horšovský Týn, Littrowa 122</w:t>
            </w:r>
          </w:p>
        </w:tc>
      </w:tr>
    </w:tbl>
    <w:p w:rsidR="004E33C3" w:rsidRPr="004E33C3" w:rsidRDefault="004E33C3" w:rsidP="007A15AB">
      <w:pPr>
        <w:spacing w:before="0" w:after="0"/>
        <w:rPr>
          <w:i/>
          <w:iCs/>
          <w:sz w:val="2"/>
          <w:szCs w:val="2"/>
        </w:rPr>
      </w:pPr>
    </w:p>
    <w:p w:rsidR="005F06AB" w:rsidRDefault="005F06AB" w:rsidP="007A15AB">
      <w:pPr>
        <w:spacing w:before="0" w:after="0"/>
        <w:rPr>
          <w:i/>
          <w:iCs/>
          <w:sz w:val="18"/>
          <w:szCs w:val="21"/>
        </w:rPr>
      </w:pPr>
    </w:p>
    <w:tbl>
      <w:tblPr>
        <w:tblpPr w:leftFromText="141" w:rightFromText="141" w:vertAnchor="text" w:horzAnchor="margin" w:tblpXSpec="right" w:tblpY="112"/>
        <w:tblW w:w="0" w:type="auto"/>
        <w:tblLook w:val="00A0" w:firstRow="1" w:lastRow="0" w:firstColumn="1" w:lastColumn="0" w:noHBand="0" w:noVBand="0"/>
      </w:tblPr>
      <w:tblGrid>
        <w:gridCol w:w="4784"/>
      </w:tblGrid>
      <w:tr w:rsidR="005F06AB" w:rsidRPr="00E9654D" w:rsidTr="005F06AB">
        <w:tc>
          <w:tcPr>
            <w:tcW w:w="4784" w:type="dxa"/>
          </w:tcPr>
          <w:p w:rsidR="005F06AB" w:rsidRPr="005F06AB" w:rsidRDefault="005F06AB" w:rsidP="005F06AB">
            <w:pPr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</w:tbl>
    <w:p w:rsidR="005F06AB" w:rsidRDefault="005F06AB" w:rsidP="007A15AB">
      <w:pPr>
        <w:spacing w:before="0" w:after="0"/>
        <w:rPr>
          <w:i/>
          <w:iCs/>
          <w:sz w:val="18"/>
          <w:szCs w:val="21"/>
        </w:rPr>
      </w:pPr>
    </w:p>
    <w:p w:rsidR="005F06AB" w:rsidRDefault="005F06AB" w:rsidP="007A15AB">
      <w:pPr>
        <w:spacing w:before="0" w:after="0"/>
        <w:rPr>
          <w:i/>
          <w:iCs/>
          <w:sz w:val="18"/>
          <w:szCs w:val="21"/>
        </w:rPr>
      </w:pPr>
    </w:p>
    <w:p w:rsidR="005F06AB" w:rsidRDefault="005F06AB" w:rsidP="007A15AB">
      <w:pPr>
        <w:spacing w:before="0" w:after="0"/>
        <w:rPr>
          <w:i/>
          <w:iCs/>
          <w:sz w:val="18"/>
          <w:szCs w:val="21"/>
        </w:rPr>
      </w:pPr>
    </w:p>
    <w:p w:rsidR="00847BD5" w:rsidRPr="00425B9B" w:rsidRDefault="00847BD5" w:rsidP="007A15AB">
      <w:pPr>
        <w:spacing w:before="0" w:after="0"/>
        <w:rPr>
          <w:i/>
          <w:iCs/>
          <w:sz w:val="18"/>
          <w:szCs w:val="21"/>
        </w:rPr>
      </w:pPr>
      <w:r w:rsidRPr="00425B9B">
        <w:rPr>
          <w:i/>
          <w:iCs/>
          <w:sz w:val="18"/>
          <w:szCs w:val="21"/>
        </w:rPr>
        <w:t>Přílo</w:t>
      </w:r>
      <w:r w:rsidR="00983B5D">
        <w:rPr>
          <w:i/>
          <w:iCs/>
          <w:sz w:val="18"/>
          <w:szCs w:val="21"/>
        </w:rPr>
        <w:t>h</w:t>
      </w:r>
      <w:r w:rsidR="000B18CD">
        <w:rPr>
          <w:i/>
          <w:iCs/>
          <w:sz w:val="18"/>
          <w:szCs w:val="21"/>
        </w:rPr>
        <w:t>y</w:t>
      </w:r>
      <w:r w:rsidRPr="00425B9B">
        <w:rPr>
          <w:i/>
          <w:iCs/>
          <w:sz w:val="18"/>
          <w:szCs w:val="21"/>
        </w:rPr>
        <w:t>:</w:t>
      </w:r>
    </w:p>
    <w:p w:rsidR="000B18CD" w:rsidRDefault="009C778C" w:rsidP="009C778C">
      <w:pPr>
        <w:pStyle w:val="Odstavecseseznamem"/>
        <w:numPr>
          <w:ilvl w:val="0"/>
          <w:numId w:val="9"/>
        </w:numPr>
        <w:spacing w:before="0" w:after="0"/>
        <w:rPr>
          <w:i/>
          <w:iCs/>
          <w:sz w:val="18"/>
          <w:szCs w:val="21"/>
        </w:rPr>
      </w:pPr>
      <w:r w:rsidRPr="009C778C">
        <w:rPr>
          <w:i/>
          <w:iCs/>
          <w:sz w:val="18"/>
          <w:szCs w:val="21"/>
        </w:rPr>
        <w:t>Obecné podmínky</w:t>
      </w:r>
      <w:r w:rsidR="00847BD5" w:rsidRPr="00425B9B">
        <w:rPr>
          <w:i/>
          <w:iCs/>
          <w:sz w:val="18"/>
          <w:szCs w:val="21"/>
        </w:rPr>
        <w:t xml:space="preserve"> </w:t>
      </w:r>
    </w:p>
    <w:p w:rsidR="009C778C" w:rsidRPr="00342D93" w:rsidRDefault="009C778C" w:rsidP="009C778C">
      <w:pPr>
        <w:pStyle w:val="Odstavecseseznamem"/>
        <w:numPr>
          <w:ilvl w:val="0"/>
          <w:numId w:val="9"/>
        </w:numPr>
        <w:spacing w:before="0" w:after="0"/>
        <w:rPr>
          <w:i/>
          <w:iCs/>
          <w:sz w:val="18"/>
          <w:szCs w:val="21"/>
        </w:rPr>
      </w:pPr>
      <w:r w:rsidRPr="009C778C">
        <w:rPr>
          <w:i/>
          <w:iCs/>
          <w:sz w:val="18"/>
          <w:szCs w:val="21"/>
        </w:rPr>
        <w:t>Technické podmínky</w:t>
      </w:r>
    </w:p>
    <w:sectPr w:rsidR="009C778C" w:rsidRPr="00342D93" w:rsidSect="00413813">
      <w:footerReference w:type="default" r:id="rId7"/>
      <w:footerReference w:type="first" r:id="rId8"/>
      <w:pgSz w:w="11906" w:h="16838"/>
      <w:pgMar w:top="1418" w:right="851" w:bottom="1134" w:left="85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7D" w:rsidRDefault="004C087D" w:rsidP="00994931">
      <w:r>
        <w:separator/>
      </w:r>
    </w:p>
  </w:endnote>
  <w:endnote w:type="continuationSeparator" w:id="0">
    <w:p w:rsidR="004C087D" w:rsidRDefault="004C087D" w:rsidP="009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64" w:rsidRPr="0068371C" w:rsidRDefault="00557264" w:rsidP="00994931">
    <w:pPr>
      <w:pStyle w:val="Zhlav1"/>
    </w:pPr>
    <w:r w:rsidRPr="0068371C">
      <w:t xml:space="preserve">Stránka </w:t>
    </w:r>
    <w:r w:rsidR="00C851D5">
      <w:fldChar w:fldCharType="begin"/>
    </w:r>
    <w:r w:rsidR="002A3A19">
      <w:instrText xml:space="preserve"> PAGE </w:instrText>
    </w:r>
    <w:r w:rsidR="00C851D5">
      <w:fldChar w:fldCharType="separate"/>
    </w:r>
    <w:r w:rsidR="00A47480">
      <w:rPr>
        <w:noProof/>
      </w:rPr>
      <w:t>5</w:t>
    </w:r>
    <w:r w:rsidR="00C851D5">
      <w:rPr>
        <w:noProof/>
      </w:rPr>
      <w:fldChar w:fldCharType="end"/>
    </w:r>
    <w:r w:rsidRPr="0068371C">
      <w:t xml:space="preserve"> z </w:t>
    </w:r>
    <w:r w:rsidR="00C851D5">
      <w:fldChar w:fldCharType="begin"/>
    </w:r>
    <w:r w:rsidR="006F1C10">
      <w:instrText xml:space="preserve"> NUMPAGES  </w:instrText>
    </w:r>
    <w:r w:rsidR="00C851D5">
      <w:fldChar w:fldCharType="separate"/>
    </w:r>
    <w:r w:rsidR="00A47480">
      <w:rPr>
        <w:noProof/>
      </w:rPr>
      <w:t>6</w:t>
    </w:r>
    <w:r w:rsidR="00C851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64" w:rsidRPr="004F4C59" w:rsidRDefault="00557264" w:rsidP="004F4C59">
    <w:pPr>
      <w:pStyle w:val="Zpat"/>
      <w:jc w:val="right"/>
      <w:rPr>
        <w:rFonts w:ascii="Courier New" w:hAnsi="Courier New" w:cs="Courier New"/>
        <w:sz w:val="18"/>
      </w:rPr>
    </w:pPr>
    <w:r w:rsidRPr="004F4C59">
      <w:rPr>
        <w:rFonts w:ascii="Courier New" w:hAnsi="Courier New" w:cs="Courier New"/>
        <w:sz w:val="18"/>
      </w:rPr>
      <w:t xml:space="preserve">Stránka </w:t>
    </w:r>
    <w:r w:rsidR="00C851D5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PAGE </w:instrText>
    </w:r>
    <w:r w:rsidR="00C851D5" w:rsidRPr="004F4C59">
      <w:rPr>
        <w:rFonts w:ascii="Courier New" w:hAnsi="Courier New" w:cs="Courier New"/>
        <w:sz w:val="18"/>
      </w:rPr>
      <w:fldChar w:fldCharType="separate"/>
    </w:r>
    <w:r w:rsidR="004C087D">
      <w:rPr>
        <w:rFonts w:ascii="Courier New" w:hAnsi="Courier New" w:cs="Courier New"/>
        <w:noProof/>
        <w:sz w:val="18"/>
      </w:rPr>
      <w:t>1</w:t>
    </w:r>
    <w:r w:rsidR="00C851D5" w:rsidRPr="004F4C59">
      <w:rPr>
        <w:rFonts w:ascii="Courier New" w:hAnsi="Courier New" w:cs="Courier New"/>
        <w:sz w:val="18"/>
      </w:rPr>
      <w:fldChar w:fldCharType="end"/>
    </w:r>
    <w:r w:rsidRPr="004F4C59">
      <w:rPr>
        <w:rFonts w:ascii="Courier New" w:hAnsi="Courier New" w:cs="Courier New"/>
        <w:sz w:val="18"/>
      </w:rPr>
      <w:t xml:space="preserve"> z </w:t>
    </w:r>
    <w:r w:rsidR="00C851D5" w:rsidRPr="004F4C59">
      <w:rPr>
        <w:rFonts w:ascii="Courier New" w:hAnsi="Courier New" w:cs="Courier New"/>
        <w:sz w:val="18"/>
      </w:rPr>
      <w:fldChar w:fldCharType="begin"/>
    </w:r>
    <w:r w:rsidRPr="004F4C59">
      <w:rPr>
        <w:rFonts w:ascii="Courier New" w:hAnsi="Courier New" w:cs="Courier New"/>
        <w:sz w:val="18"/>
      </w:rPr>
      <w:instrText xml:space="preserve"> NUMPAGES  </w:instrText>
    </w:r>
    <w:r w:rsidR="00C851D5" w:rsidRPr="004F4C59">
      <w:rPr>
        <w:rFonts w:ascii="Courier New" w:hAnsi="Courier New" w:cs="Courier New"/>
        <w:sz w:val="18"/>
      </w:rPr>
      <w:fldChar w:fldCharType="separate"/>
    </w:r>
    <w:r w:rsidR="004C087D">
      <w:rPr>
        <w:rFonts w:ascii="Courier New" w:hAnsi="Courier New" w:cs="Courier New"/>
        <w:noProof/>
        <w:sz w:val="18"/>
      </w:rPr>
      <w:t>1</w:t>
    </w:r>
    <w:r w:rsidR="00C851D5" w:rsidRPr="004F4C59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7D" w:rsidRDefault="004C087D" w:rsidP="00994931">
      <w:r>
        <w:separator/>
      </w:r>
    </w:p>
  </w:footnote>
  <w:footnote w:type="continuationSeparator" w:id="0">
    <w:p w:rsidR="004C087D" w:rsidRDefault="004C087D" w:rsidP="0099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3" w15:restartNumberingAfterBreak="0">
    <w:nsid w:val="33A5707A"/>
    <w:multiLevelType w:val="multilevel"/>
    <w:tmpl w:val="017417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8B9526F"/>
    <w:multiLevelType w:val="hybridMultilevel"/>
    <w:tmpl w:val="0D0497FA"/>
    <w:lvl w:ilvl="0" w:tplc="5498A67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A0A"/>
    <w:multiLevelType w:val="multilevel"/>
    <w:tmpl w:val="EF8667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F5E7C0B"/>
    <w:multiLevelType w:val="hybridMultilevel"/>
    <w:tmpl w:val="443AE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7118"/>
    <w:multiLevelType w:val="multilevel"/>
    <w:tmpl w:val="CAEC47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7D10934"/>
    <w:multiLevelType w:val="hybridMultilevel"/>
    <w:tmpl w:val="A77CD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3721"/>
    <w:multiLevelType w:val="hybridMultilevel"/>
    <w:tmpl w:val="3602652E"/>
    <w:lvl w:ilvl="0" w:tplc="CB262732">
      <w:start w:val="1"/>
      <w:numFmt w:val="bullet"/>
      <w:lvlText w:val="-"/>
      <w:lvlJc w:val="left"/>
      <w:pPr>
        <w:ind w:left="765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2B7367"/>
    <w:multiLevelType w:val="hybridMultilevel"/>
    <w:tmpl w:val="1638E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C21A20"/>
    <w:multiLevelType w:val="hybridMultilevel"/>
    <w:tmpl w:val="E8CEA460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8F"/>
    <w:rsid w:val="00000883"/>
    <w:rsid w:val="0000447C"/>
    <w:rsid w:val="0001018A"/>
    <w:rsid w:val="00017178"/>
    <w:rsid w:val="00027287"/>
    <w:rsid w:val="000304CD"/>
    <w:rsid w:val="00055812"/>
    <w:rsid w:val="0007051C"/>
    <w:rsid w:val="00075E88"/>
    <w:rsid w:val="00082BFD"/>
    <w:rsid w:val="000902FB"/>
    <w:rsid w:val="000906FE"/>
    <w:rsid w:val="000B18CD"/>
    <w:rsid w:val="000D68EA"/>
    <w:rsid w:val="000E64EA"/>
    <w:rsid w:val="000E7C7C"/>
    <w:rsid w:val="000F12DE"/>
    <w:rsid w:val="00102DDA"/>
    <w:rsid w:val="00103C15"/>
    <w:rsid w:val="00104EF6"/>
    <w:rsid w:val="00115F2B"/>
    <w:rsid w:val="0013101D"/>
    <w:rsid w:val="00144EFA"/>
    <w:rsid w:val="00156C8E"/>
    <w:rsid w:val="001609C5"/>
    <w:rsid w:val="001708A7"/>
    <w:rsid w:val="001712EA"/>
    <w:rsid w:val="00174274"/>
    <w:rsid w:val="00182C35"/>
    <w:rsid w:val="001B07AF"/>
    <w:rsid w:val="001F3146"/>
    <w:rsid w:val="001F7D85"/>
    <w:rsid w:val="00206C1A"/>
    <w:rsid w:val="0022192C"/>
    <w:rsid w:val="00221C9B"/>
    <w:rsid w:val="00221FF9"/>
    <w:rsid w:val="002447F8"/>
    <w:rsid w:val="00261786"/>
    <w:rsid w:val="00267A1B"/>
    <w:rsid w:val="0027308F"/>
    <w:rsid w:val="0027595A"/>
    <w:rsid w:val="00292DDA"/>
    <w:rsid w:val="002965A1"/>
    <w:rsid w:val="00296C37"/>
    <w:rsid w:val="0029718F"/>
    <w:rsid w:val="002A03E1"/>
    <w:rsid w:val="002A3A19"/>
    <w:rsid w:val="002A7009"/>
    <w:rsid w:val="002B756D"/>
    <w:rsid w:val="002C138B"/>
    <w:rsid w:val="002C789A"/>
    <w:rsid w:val="00311529"/>
    <w:rsid w:val="00314586"/>
    <w:rsid w:val="0031743D"/>
    <w:rsid w:val="0032303A"/>
    <w:rsid w:val="00342D93"/>
    <w:rsid w:val="00347A5E"/>
    <w:rsid w:val="00350322"/>
    <w:rsid w:val="00356913"/>
    <w:rsid w:val="0036171C"/>
    <w:rsid w:val="0036319B"/>
    <w:rsid w:val="00363D56"/>
    <w:rsid w:val="00365E9D"/>
    <w:rsid w:val="00375F3F"/>
    <w:rsid w:val="003A23A1"/>
    <w:rsid w:val="003B3032"/>
    <w:rsid w:val="003B640A"/>
    <w:rsid w:val="003B7541"/>
    <w:rsid w:val="003D6D20"/>
    <w:rsid w:val="003E3B6B"/>
    <w:rsid w:val="003F1C1F"/>
    <w:rsid w:val="00413813"/>
    <w:rsid w:val="00416D51"/>
    <w:rsid w:val="004221CF"/>
    <w:rsid w:val="0042459A"/>
    <w:rsid w:val="00425B9B"/>
    <w:rsid w:val="004261DF"/>
    <w:rsid w:val="00433DBE"/>
    <w:rsid w:val="004340C1"/>
    <w:rsid w:val="0043657C"/>
    <w:rsid w:val="0044518A"/>
    <w:rsid w:val="00446BDD"/>
    <w:rsid w:val="0046412C"/>
    <w:rsid w:val="004716EB"/>
    <w:rsid w:val="00474A90"/>
    <w:rsid w:val="0049341D"/>
    <w:rsid w:val="004B006E"/>
    <w:rsid w:val="004C087D"/>
    <w:rsid w:val="004D264C"/>
    <w:rsid w:val="004E257A"/>
    <w:rsid w:val="004E33C3"/>
    <w:rsid w:val="004E3899"/>
    <w:rsid w:val="004E41A4"/>
    <w:rsid w:val="004F334F"/>
    <w:rsid w:val="004F4C59"/>
    <w:rsid w:val="004F522A"/>
    <w:rsid w:val="004F6E90"/>
    <w:rsid w:val="005019D0"/>
    <w:rsid w:val="00511DDB"/>
    <w:rsid w:val="00522A62"/>
    <w:rsid w:val="00530B3D"/>
    <w:rsid w:val="005378B7"/>
    <w:rsid w:val="00546C45"/>
    <w:rsid w:val="00557264"/>
    <w:rsid w:val="005845ED"/>
    <w:rsid w:val="005A7A4E"/>
    <w:rsid w:val="005B5760"/>
    <w:rsid w:val="005C63D7"/>
    <w:rsid w:val="005D3386"/>
    <w:rsid w:val="005D7CE2"/>
    <w:rsid w:val="005E5712"/>
    <w:rsid w:val="005E5C57"/>
    <w:rsid w:val="005F06AB"/>
    <w:rsid w:val="005F601C"/>
    <w:rsid w:val="00600007"/>
    <w:rsid w:val="00605ED1"/>
    <w:rsid w:val="006112A8"/>
    <w:rsid w:val="00616310"/>
    <w:rsid w:val="00637204"/>
    <w:rsid w:val="00651593"/>
    <w:rsid w:val="00657BCC"/>
    <w:rsid w:val="00660974"/>
    <w:rsid w:val="00671C45"/>
    <w:rsid w:val="00674A42"/>
    <w:rsid w:val="006777CB"/>
    <w:rsid w:val="0068371C"/>
    <w:rsid w:val="006A2D93"/>
    <w:rsid w:val="006C09DA"/>
    <w:rsid w:val="006E2D7E"/>
    <w:rsid w:val="006F1C10"/>
    <w:rsid w:val="006F5616"/>
    <w:rsid w:val="00733F69"/>
    <w:rsid w:val="00734014"/>
    <w:rsid w:val="007550E8"/>
    <w:rsid w:val="0079103C"/>
    <w:rsid w:val="007A15AB"/>
    <w:rsid w:val="007A4736"/>
    <w:rsid w:val="007B2023"/>
    <w:rsid w:val="007D03B2"/>
    <w:rsid w:val="007D4088"/>
    <w:rsid w:val="007D5685"/>
    <w:rsid w:val="007E5609"/>
    <w:rsid w:val="00832653"/>
    <w:rsid w:val="008458B2"/>
    <w:rsid w:val="00847BD5"/>
    <w:rsid w:val="00887870"/>
    <w:rsid w:val="00892083"/>
    <w:rsid w:val="00896BBD"/>
    <w:rsid w:val="008C5D78"/>
    <w:rsid w:val="008D11C5"/>
    <w:rsid w:val="008D5DB4"/>
    <w:rsid w:val="008F4FE5"/>
    <w:rsid w:val="00910DB0"/>
    <w:rsid w:val="00914672"/>
    <w:rsid w:val="00915BA6"/>
    <w:rsid w:val="00927ABF"/>
    <w:rsid w:val="00934300"/>
    <w:rsid w:val="00960578"/>
    <w:rsid w:val="00970274"/>
    <w:rsid w:val="009759B7"/>
    <w:rsid w:val="00983B5D"/>
    <w:rsid w:val="00983E2D"/>
    <w:rsid w:val="009873D2"/>
    <w:rsid w:val="0099380B"/>
    <w:rsid w:val="00994931"/>
    <w:rsid w:val="00994BA5"/>
    <w:rsid w:val="009A71C2"/>
    <w:rsid w:val="009B6562"/>
    <w:rsid w:val="009C0B98"/>
    <w:rsid w:val="009C778C"/>
    <w:rsid w:val="009D3720"/>
    <w:rsid w:val="009E05E4"/>
    <w:rsid w:val="009E09AD"/>
    <w:rsid w:val="009E4001"/>
    <w:rsid w:val="009F423F"/>
    <w:rsid w:val="009F793F"/>
    <w:rsid w:val="00A03D2B"/>
    <w:rsid w:val="00A21368"/>
    <w:rsid w:val="00A3067E"/>
    <w:rsid w:val="00A352DF"/>
    <w:rsid w:val="00A374CE"/>
    <w:rsid w:val="00A47480"/>
    <w:rsid w:val="00A6312C"/>
    <w:rsid w:val="00A7254D"/>
    <w:rsid w:val="00A74A22"/>
    <w:rsid w:val="00A769C4"/>
    <w:rsid w:val="00A8240F"/>
    <w:rsid w:val="00A86F81"/>
    <w:rsid w:val="00A87D83"/>
    <w:rsid w:val="00A92249"/>
    <w:rsid w:val="00AA22BD"/>
    <w:rsid w:val="00AD67C5"/>
    <w:rsid w:val="00AE4635"/>
    <w:rsid w:val="00AE619D"/>
    <w:rsid w:val="00B0587E"/>
    <w:rsid w:val="00B16117"/>
    <w:rsid w:val="00B27E29"/>
    <w:rsid w:val="00B30E1F"/>
    <w:rsid w:val="00B339F8"/>
    <w:rsid w:val="00B35A9D"/>
    <w:rsid w:val="00B40153"/>
    <w:rsid w:val="00B66B9D"/>
    <w:rsid w:val="00B71E1E"/>
    <w:rsid w:val="00B75A69"/>
    <w:rsid w:val="00B90A17"/>
    <w:rsid w:val="00B925C5"/>
    <w:rsid w:val="00BB423B"/>
    <w:rsid w:val="00BB6C91"/>
    <w:rsid w:val="00BB74D8"/>
    <w:rsid w:val="00BE169F"/>
    <w:rsid w:val="00BE3517"/>
    <w:rsid w:val="00BE5DD6"/>
    <w:rsid w:val="00BF5171"/>
    <w:rsid w:val="00BF5677"/>
    <w:rsid w:val="00C003DB"/>
    <w:rsid w:val="00C00A9B"/>
    <w:rsid w:val="00C024CB"/>
    <w:rsid w:val="00C053D4"/>
    <w:rsid w:val="00C065E6"/>
    <w:rsid w:val="00C14EB7"/>
    <w:rsid w:val="00C30C37"/>
    <w:rsid w:val="00C3120C"/>
    <w:rsid w:val="00C32006"/>
    <w:rsid w:val="00C46D8D"/>
    <w:rsid w:val="00C47924"/>
    <w:rsid w:val="00C65B22"/>
    <w:rsid w:val="00C67F73"/>
    <w:rsid w:val="00C75C90"/>
    <w:rsid w:val="00C81DA7"/>
    <w:rsid w:val="00C851D5"/>
    <w:rsid w:val="00C87214"/>
    <w:rsid w:val="00C90A26"/>
    <w:rsid w:val="00C94CAB"/>
    <w:rsid w:val="00CA3EA1"/>
    <w:rsid w:val="00CB028C"/>
    <w:rsid w:val="00CC2484"/>
    <w:rsid w:val="00CD036B"/>
    <w:rsid w:val="00CE71C4"/>
    <w:rsid w:val="00D027FF"/>
    <w:rsid w:val="00D075B2"/>
    <w:rsid w:val="00D14F64"/>
    <w:rsid w:val="00D228DC"/>
    <w:rsid w:val="00D47448"/>
    <w:rsid w:val="00D73273"/>
    <w:rsid w:val="00D76405"/>
    <w:rsid w:val="00D8180C"/>
    <w:rsid w:val="00D8432F"/>
    <w:rsid w:val="00D92184"/>
    <w:rsid w:val="00D960DE"/>
    <w:rsid w:val="00DA2099"/>
    <w:rsid w:val="00DA281B"/>
    <w:rsid w:val="00DA447D"/>
    <w:rsid w:val="00DA4E45"/>
    <w:rsid w:val="00DB2CC3"/>
    <w:rsid w:val="00DC0489"/>
    <w:rsid w:val="00DC0D30"/>
    <w:rsid w:val="00DD3D8C"/>
    <w:rsid w:val="00DE1A03"/>
    <w:rsid w:val="00DE7661"/>
    <w:rsid w:val="00DF468A"/>
    <w:rsid w:val="00DF5035"/>
    <w:rsid w:val="00E04397"/>
    <w:rsid w:val="00E23A2E"/>
    <w:rsid w:val="00E32833"/>
    <w:rsid w:val="00E367E0"/>
    <w:rsid w:val="00E4064B"/>
    <w:rsid w:val="00E52472"/>
    <w:rsid w:val="00E55A78"/>
    <w:rsid w:val="00E57C95"/>
    <w:rsid w:val="00E771C9"/>
    <w:rsid w:val="00E86457"/>
    <w:rsid w:val="00E9654D"/>
    <w:rsid w:val="00ED17C7"/>
    <w:rsid w:val="00ED2FFB"/>
    <w:rsid w:val="00ED369E"/>
    <w:rsid w:val="00EF0210"/>
    <w:rsid w:val="00F02F09"/>
    <w:rsid w:val="00F07DC8"/>
    <w:rsid w:val="00F26642"/>
    <w:rsid w:val="00F325F3"/>
    <w:rsid w:val="00F73DC0"/>
    <w:rsid w:val="00F74F67"/>
    <w:rsid w:val="00F8341A"/>
    <w:rsid w:val="00FA09F7"/>
    <w:rsid w:val="00FA3E07"/>
    <w:rsid w:val="00FA73E0"/>
    <w:rsid w:val="00FB0984"/>
    <w:rsid w:val="00FB1675"/>
    <w:rsid w:val="00FB22B3"/>
    <w:rsid w:val="00FB4B85"/>
    <w:rsid w:val="00FC3A87"/>
    <w:rsid w:val="00FF03A4"/>
    <w:rsid w:val="00FF403B"/>
    <w:rsid w:val="00FF471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B2F8B-9BE4-40ED-8A64-EDD6F0E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6AB"/>
    <w:pPr>
      <w:spacing w:before="120" w:after="120" w:line="276" w:lineRule="auto"/>
      <w:jc w:val="both"/>
    </w:pPr>
    <w:rPr>
      <w:rFonts w:cs="Calibri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27308F"/>
    <w:pPr>
      <w:keepNext/>
      <w:numPr>
        <w:numId w:val="3"/>
      </w:numPr>
      <w:spacing w:before="360" w:after="180"/>
      <w:jc w:val="center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83B5D"/>
    <w:pPr>
      <w:numPr>
        <w:ilvl w:val="1"/>
        <w:numId w:val="3"/>
      </w:numPr>
      <w:outlineLvl w:val="1"/>
    </w:pPr>
    <w:rPr>
      <w:szCs w:val="21"/>
    </w:rPr>
  </w:style>
  <w:style w:type="paragraph" w:styleId="Nadpis3">
    <w:name w:val="heading 3"/>
    <w:basedOn w:val="Normln"/>
    <w:next w:val="Normln"/>
    <w:link w:val="Nadpis3Char"/>
    <w:uiPriority w:val="99"/>
    <w:qFormat/>
    <w:rsid w:val="004D264C"/>
    <w:pPr>
      <w:numPr>
        <w:ilvl w:val="2"/>
        <w:numId w:val="3"/>
      </w:numPr>
      <w:spacing w:before="60" w:after="60"/>
      <w:ind w:left="1276"/>
      <w:outlineLvl w:val="2"/>
    </w:pPr>
    <w:rPr>
      <w:rFonts w:eastAsia="Times New Roman"/>
      <w:bCs/>
      <w:szCs w:val="21"/>
    </w:rPr>
  </w:style>
  <w:style w:type="paragraph" w:styleId="Nadpis4">
    <w:name w:val="heading 4"/>
    <w:basedOn w:val="Normln"/>
    <w:next w:val="Normln"/>
    <w:link w:val="Nadpis4Char"/>
    <w:uiPriority w:val="99"/>
    <w:qFormat/>
    <w:rsid w:val="00A92249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A92249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A92249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A92249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A92249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92249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308F"/>
    <w:rPr>
      <w:rFonts w:cs="Calibri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B5D"/>
    <w:rPr>
      <w:rFonts w:cs="Calibri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D264C"/>
    <w:rPr>
      <w:rFonts w:eastAsia="Times New Roman" w:cs="Calibri"/>
      <w:bCs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92249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A92249"/>
    <w:rPr>
      <w:rFonts w:ascii="Cambria" w:eastAsia="Times New Roman" w:hAnsi="Cambria" w:cs="Cambria"/>
      <w:color w:val="243F6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A92249"/>
    <w:rPr>
      <w:rFonts w:ascii="Cambria" w:eastAsia="Times New Roman" w:hAnsi="Cambria" w:cs="Cambria"/>
      <w:i/>
      <w:iCs/>
      <w:color w:val="243F6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92249"/>
    <w:rPr>
      <w:rFonts w:ascii="Cambria" w:eastAsia="Times New Roman" w:hAnsi="Cambria" w:cs="Cambria"/>
      <w:i/>
      <w:iCs/>
      <w:color w:val="40404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92249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A92249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8371C"/>
  </w:style>
  <w:style w:type="paragraph" w:styleId="Zpat">
    <w:name w:val="footer"/>
    <w:basedOn w:val="Normln"/>
    <w:link w:val="ZpatChar"/>
    <w:uiPriority w:val="99"/>
    <w:semiHidden/>
    <w:rsid w:val="00683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8371C"/>
  </w:style>
  <w:style w:type="paragraph" w:customStyle="1" w:styleId="Zhlav1">
    <w:name w:val="Záhlaví1"/>
    <w:basedOn w:val="Normln"/>
    <w:link w:val="Zhlav1Char"/>
    <w:uiPriority w:val="99"/>
    <w:rsid w:val="0068371C"/>
    <w:pPr>
      <w:spacing w:after="0"/>
      <w:jc w:val="right"/>
    </w:pPr>
    <w:rPr>
      <w:rFonts w:ascii="Courier New" w:hAnsi="Courier New" w:cs="Courier New"/>
      <w:sz w:val="18"/>
      <w:szCs w:val="18"/>
    </w:rPr>
  </w:style>
  <w:style w:type="character" w:customStyle="1" w:styleId="Zhlav1Char">
    <w:name w:val="Záhlaví1 Char"/>
    <w:basedOn w:val="Standardnpsmoodstavce"/>
    <w:link w:val="Zhlav1"/>
    <w:uiPriority w:val="99"/>
    <w:locked/>
    <w:rsid w:val="0068371C"/>
    <w:rPr>
      <w:rFonts w:ascii="Courier New" w:hAnsi="Courier New" w:cs="Courier New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718F"/>
    <w:pPr>
      <w:ind w:left="720"/>
    </w:pPr>
  </w:style>
  <w:style w:type="paragraph" w:customStyle="1" w:styleId="slovn2">
    <w:name w:val="Číslování 2"/>
    <w:basedOn w:val="Seznam"/>
    <w:uiPriority w:val="99"/>
    <w:rsid w:val="002A7009"/>
    <w:pPr>
      <w:widowControl w:val="0"/>
      <w:numPr>
        <w:numId w:val="6"/>
      </w:numPr>
      <w:suppressAutoHyphens/>
      <w:spacing w:before="0" w:line="240" w:lineRule="auto"/>
      <w:ind w:left="567"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semiHidden/>
    <w:rsid w:val="002A7009"/>
    <w:pPr>
      <w:ind w:left="283" w:hanging="283"/>
    </w:pPr>
  </w:style>
  <w:style w:type="paragraph" w:styleId="Nzev">
    <w:name w:val="Title"/>
    <w:basedOn w:val="Normln"/>
    <w:next w:val="Normln"/>
    <w:link w:val="NzevChar"/>
    <w:uiPriority w:val="99"/>
    <w:qFormat/>
    <w:rsid w:val="002A7009"/>
    <w:pPr>
      <w:keepNext/>
      <w:suppressAutoHyphens/>
      <w:spacing w:before="240" w:after="240"/>
      <w:jc w:val="center"/>
    </w:pPr>
    <w:rPr>
      <w:b/>
      <w:bCs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2A7009"/>
    <w:rPr>
      <w:rFonts w:eastAsia="Times New Roman"/>
      <w:b/>
      <w:bCs/>
      <w:sz w:val="36"/>
      <w:szCs w:val="36"/>
      <w:lang w:eastAsia="cs-CZ"/>
    </w:rPr>
  </w:style>
  <w:style w:type="paragraph" w:customStyle="1" w:styleId="slovn1">
    <w:name w:val="Číslování 1"/>
    <w:basedOn w:val="Normln"/>
    <w:uiPriority w:val="99"/>
    <w:rsid w:val="002A7009"/>
    <w:pPr>
      <w:widowControl w:val="0"/>
      <w:numPr>
        <w:numId w:val="7"/>
      </w:numPr>
      <w:suppressAutoHyphens/>
      <w:spacing w:before="0" w:after="170" w:line="240" w:lineRule="auto"/>
    </w:pPr>
    <w:rPr>
      <w:rFonts w:ascii="Arial" w:hAnsi="Arial" w:cs="Arial"/>
      <w:lang w:eastAsia="cs-CZ"/>
    </w:rPr>
  </w:style>
  <w:style w:type="table" w:styleId="Mkatabulky">
    <w:name w:val="Table Grid"/>
    <w:basedOn w:val="Normlntabulka"/>
    <w:uiPriority w:val="99"/>
    <w:rsid w:val="002A700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FB2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2C73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B6C9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0A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0A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0A9B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0A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0A9B"/>
    <w:rPr>
      <w:rFonts w:cs="Calibri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2055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Pk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Eduard Korunka</cp:lastModifiedBy>
  <cp:revision>2</cp:revision>
  <cp:lastPrinted>2014-08-25T12:08:00Z</cp:lastPrinted>
  <dcterms:created xsi:type="dcterms:W3CDTF">2019-03-13T10:09:00Z</dcterms:created>
  <dcterms:modified xsi:type="dcterms:W3CDTF">2019-03-13T10:09:00Z</dcterms:modified>
</cp:coreProperties>
</file>