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831"/>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38"/>
        <w:gridCol w:w="2327"/>
        <w:gridCol w:w="2565"/>
        <w:gridCol w:w="2565"/>
      </w:tblGrid>
      <w:tr w:rsidR="00FA472E" w:rsidRPr="001355A6" w:rsidTr="00FA472E">
        <w:trPr>
          <w:trHeight w:val="740"/>
        </w:trPr>
        <w:tc>
          <w:tcPr>
            <w:tcW w:w="1025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A472E" w:rsidRPr="009C1A7B" w:rsidRDefault="00871329" w:rsidP="00871329">
            <w:pPr>
              <w:jc w:val="center"/>
              <w:rPr>
                <w:rFonts w:ascii="Calibri" w:hAnsi="Calibri" w:cs="Calibri"/>
                <w:b/>
                <w:color w:val="000000" w:themeColor="text1"/>
                <w:sz w:val="40"/>
                <w:szCs w:val="40"/>
              </w:rPr>
            </w:pPr>
            <w:r>
              <w:rPr>
                <w:rFonts w:ascii="Calibri" w:hAnsi="Calibri" w:cs="Calibri"/>
                <w:b/>
                <w:color w:val="000000" w:themeColor="text1"/>
                <w:sz w:val="40"/>
                <w:szCs w:val="40"/>
              </w:rPr>
              <w:t>VYSVĚTLENÍ ZADÁVACÍ DOKUMENTACE</w:t>
            </w:r>
            <w:r w:rsidR="005869B1">
              <w:rPr>
                <w:rFonts w:ascii="Calibri" w:hAnsi="Calibri" w:cs="Calibri"/>
                <w:b/>
                <w:color w:val="000000" w:themeColor="text1"/>
                <w:sz w:val="40"/>
                <w:szCs w:val="40"/>
              </w:rPr>
              <w:t xml:space="preserve"> Č. 2</w:t>
            </w:r>
          </w:p>
        </w:tc>
      </w:tr>
      <w:tr w:rsidR="002C4F6D" w:rsidRPr="001355A6" w:rsidTr="002C4F6D">
        <w:trPr>
          <w:trHeight w:val="284"/>
        </w:trPr>
        <w:tc>
          <w:tcPr>
            <w:tcW w:w="2802" w:type="dxa"/>
            <w:gridSpan w:val="2"/>
            <w:tcBorders>
              <w:top w:val="double" w:sz="4" w:space="0" w:color="auto"/>
            </w:tcBorders>
            <w:vAlign w:val="center"/>
          </w:tcPr>
          <w:p w:rsidR="002C4F6D" w:rsidRPr="001355A6" w:rsidRDefault="00ED23D0" w:rsidP="002C4F6D">
            <w:pPr>
              <w:rPr>
                <w:rFonts w:ascii="Calibri" w:hAnsi="Calibri" w:cs="Calibri"/>
                <w:b/>
                <w:bCs/>
                <w:caps/>
                <w:sz w:val="22"/>
                <w:szCs w:val="20"/>
              </w:rPr>
            </w:pPr>
            <w:r>
              <w:rPr>
                <w:rFonts w:ascii="Calibri" w:hAnsi="Calibri" w:cs="Calibri"/>
                <w:b/>
                <w:bCs/>
                <w:caps/>
                <w:sz w:val="22"/>
                <w:szCs w:val="20"/>
              </w:rPr>
              <w:t>OBJEDNA</w:t>
            </w:r>
            <w:r w:rsidR="002C4F6D" w:rsidRPr="001355A6">
              <w:rPr>
                <w:rFonts w:ascii="Calibri" w:hAnsi="Calibri" w:cs="Calibri"/>
                <w:b/>
                <w:bCs/>
                <w:caps/>
                <w:sz w:val="22"/>
                <w:szCs w:val="20"/>
              </w:rPr>
              <w:t>TEL:</w:t>
            </w:r>
          </w:p>
        </w:tc>
        <w:tc>
          <w:tcPr>
            <w:tcW w:w="7457" w:type="dxa"/>
            <w:gridSpan w:val="3"/>
            <w:tcBorders>
              <w:top w:val="double" w:sz="4" w:space="0" w:color="auto"/>
            </w:tcBorders>
            <w:vAlign w:val="center"/>
          </w:tcPr>
          <w:p w:rsidR="002C4F6D" w:rsidRPr="00A21570" w:rsidRDefault="008D0ADA" w:rsidP="008D0ADA">
            <w:pPr>
              <w:pStyle w:val="Bezmezer"/>
              <w:rPr>
                <w:rFonts w:asciiTheme="minorHAnsi" w:hAnsiTheme="minorHAnsi" w:cs="Arial"/>
                <w:b/>
              </w:rPr>
            </w:pPr>
            <w:r>
              <w:rPr>
                <w:rFonts w:asciiTheme="minorHAnsi" w:hAnsiTheme="minorHAnsi" w:cs="Arial"/>
                <w:b/>
                <w:sz w:val="24"/>
              </w:rPr>
              <w:t>Plzeňský kraj</w:t>
            </w:r>
          </w:p>
        </w:tc>
      </w:tr>
      <w:tr w:rsidR="002C4F6D" w:rsidRPr="001355A6" w:rsidTr="002C4F6D">
        <w:trPr>
          <w:trHeight w:val="284"/>
        </w:trPr>
        <w:tc>
          <w:tcPr>
            <w:tcW w:w="2802" w:type="dxa"/>
            <w:gridSpan w:val="2"/>
            <w:vAlign w:val="center"/>
          </w:tcPr>
          <w:p w:rsidR="002C4F6D" w:rsidRPr="001355A6" w:rsidRDefault="002C4F6D" w:rsidP="002C4F6D">
            <w:pPr>
              <w:rPr>
                <w:rFonts w:ascii="Calibri" w:hAnsi="Calibri" w:cs="Calibri"/>
                <w:b/>
                <w:bCs/>
                <w:caps/>
                <w:sz w:val="22"/>
                <w:szCs w:val="20"/>
              </w:rPr>
            </w:pPr>
            <w:r w:rsidRPr="001355A6">
              <w:rPr>
                <w:rFonts w:ascii="Calibri" w:hAnsi="Calibri" w:cs="Calibri"/>
                <w:b/>
                <w:bCs/>
                <w:caps/>
                <w:sz w:val="22"/>
                <w:szCs w:val="20"/>
              </w:rPr>
              <w:t>SÍDLO:</w:t>
            </w:r>
          </w:p>
        </w:tc>
        <w:tc>
          <w:tcPr>
            <w:tcW w:w="7457" w:type="dxa"/>
            <w:gridSpan w:val="3"/>
            <w:vAlign w:val="center"/>
          </w:tcPr>
          <w:p w:rsidR="002C4F6D" w:rsidRPr="00C23C89" w:rsidRDefault="008D0ADA" w:rsidP="008D0ADA">
            <w:pPr>
              <w:pStyle w:val="Bezmezer"/>
              <w:rPr>
                <w:rFonts w:asciiTheme="minorHAnsi" w:hAnsiTheme="minorHAnsi" w:cs="Arial"/>
              </w:rPr>
            </w:pPr>
            <w:r>
              <w:rPr>
                <w:rFonts w:asciiTheme="minorHAnsi" w:hAnsiTheme="minorHAnsi" w:cs="Arial"/>
              </w:rPr>
              <w:t>Škroupova 18, 306 12 Plzeň</w:t>
            </w:r>
          </w:p>
        </w:tc>
      </w:tr>
      <w:tr w:rsidR="002C4F6D" w:rsidRPr="001355A6" w:rsidTr="002C4F6D">
        <w:trPr>
          <w:trHeight w:val="284"/>
        </w:trPr>
        <w:tc>
          <w:tcPr>
            <w:tcW w:w="2802" w:type="dxa"/>
            <w:gridSpan w:val="2"/>
            <w:tcBorders>
              <w:bottom w:val="single" w:sz="4" w:space="0" w:color="auto"/>
            </w:tcBorders>
            <w:vAlign w:val="center"/>
          </w:tcPr>
          <w:p w:rsidR="002C4F6D" w:rsidRPr="001355A6" w:rsidRDefault="002C4F6D" w:rsidP="002C4F6D">
            <w:pPr>
              <w:rPr>
                <w:rFonts w:ascii="Calibri" w:hAnsi="Calibri" w:cs="Calibri"/>
                <w:b/>
                <w:bCs/>
                <w:caps/>
                <w:sz w:val="22"/>
                <w:szCs w:val="20"/>
              </w:rPr>
            </w:pPr>
            <w:r w:rsidRPr="001355A6">
              <w:rPr>
                <w:rFonts w:ascii="Calibri" w:hAnsi="Calibri" w:cs="Calibri"/>
                <w:b/>
                <w:bCs/>
                <w:caps/>
                <w:sz w:val="22"/>
                <w:szCs w:val="20"/>
              </w:rPr>
              <w:t>IČ</w:t>
            </w:r>
            <w:r>
              <w:rPr>
                <w:rFonts w:ascii="Calibri" w:hAnsi="Calibri" w:cs="Calibri"/>
                <w:b/>
                <w:bCs/>
                <w:caps/>
                <w:sz w:val="22"/>
                <w:szCs w:val="20"/>
              </w:rPr>
              <w:t>O</w:t>
            </w:r>
            <w:r w:rsidRPr="001355A6">
              <w:rPr>
                <w:rFonts w:ascii="Calibri" w:hAnsi="Calibri" w:cs="Calibri"/>
                <w:b/>
                <w:bCs/>
                <w:caps/>
                <w:sz w:val="22"/>
                <w:szCs w:val="20"/>
              </w:rPr>
              <w:t>:</w:t>
            </w:r>
          </w:p>
        </w:tc>
        <w:tc>
          <w:tcPr>
            <w:tcW w:w="7457" w:type="dxa"/>
            <w:gridSpan w:val="3"/>
            <w:tcBorders>
              <w:bottom w:val="single" w:sz="4" w:space="0" w:color="auto"/>
            </w:tcBorders>
            <w:vAlign w:val="center"/>
          </w:tcPr>
          <w:p w:rsidR="002C4F6D" w:rsidRPr="00C23C89" w:rsidRDefault="008D0ADA" w:rsidP="0087636A">
            <w:pPr>
              <w:pStyle w:val="Bezmezer"/>
              <w:rPr>
                <w:rFonts w:asciiTheme="minorHAnsi" w:hAnsiTheme="minorHAnsi" w:cs="Arial"/>
              </w:rPr>
            </w:pPr>
            <w:r>
              <w:rPr>
                <w:rFonts w:asciiTheme="minorHAnsi" w:hAnsiTheme="minorHAnsi" w:cs="Arial"/>
              </w:rPr>
              <w:t>70890366</w:t>
            </w:r>
          </w:p>
        </w:tc>
      </w:tr>
      <w:tr w:rsidR="00A21570" w:rsidRPr="001355A6" w:rsidTr="00871329">
        <w:trPr>
          <w:trHeight w:val="284"/>
        </w:trPr>
        <w:tc>
          <w:tcPr>
            <w:tcW w:w="2802" w:type="dxa"/>
            <w:gridSpan w:val="2"/>
            <w:tcBorders>
              <w:bottom w:val="single" w:sz="12" w:space="0" w:color="auto"/>
            </w:tcBorders>
            <w:vAlign w:val="center"/>
          </w:tcPr>
          <w:p w:rsidR="00A21570" w:rsidRPr="001355A6" w:rsidRDefault="00A21570" w:rsidP="00A21570">
            <w:pPr>
              <w:rPr>
                <w:rFonts w:ascii="Calibri" w:hAnsi="Calibri" w:cs="Calibri"/>
                <w:b/>
                <w:bCs/>
                <w:caps/>
                <w:sz w:val="22"/>
                <w:szCs w:val="20"/>
              </w:rPr>
            </w:pPr>
            <w:r>
              <w:rPr>
                <w:rFonts w:ascii="Calibri" w:hAnsi="Calibri" w:cs="Calibri"/>
                <w:b/>
                <w:bCs/>
                <w:caps/>
                <w:sz w:val="22"/>
                <w:szCs w:val="20"/>
              </w:rPr>
              <w:t>zastoupený:</w:t>
            </w:r>
          </w:p>
        </w:tc>
        <w:tc>
          <w:tcPr>
            <w:tcW w:w="7457" w:type="dxa"/>
            <w:gridSpan w:val="3"/>
            <w:tcBorders>
              <w:bottom w:val="single" w:sz="12" w:space="0" w:color="auto"/>
            </w:tcBorders>
            <w:vAlign w:val="center"/>
          </w:tcPr>
          <w:p w:rsidR="000916C4" w:rsidRPr="00C23C89" w:rsidRDefault="008D0ADA" w:rsidP="008D0ADA">
            <w:pPr>
              <w:rPr>
                <w:rFonts w:asciiTheme="minorHAnsi" w:hAnsiTheme="minorHAnsi" w:cs="Arial"/>
              </w:rPr>
            </w:pPr>
            <w:r>
              <w:rPr>
                <w:rFonts w:ascii="Calibri" w:eastAsia="Calibri" w:hAnsi="Calibri" w:cs="Arial"/>
                <w:sz w:val="22"/>
                <w:szCs w:val="22"/>
                <w:lang w:eastAsia="en-US"/>
              </w:rPr>
              <w:t>Josefem Bernardem, hejtmanem</w:t>
            </w:r>
          </w:p>
        </w:tc>
      </w:tr>
      <w:tr w:rsidR="00871329" w:rsidRPr="001355A6" w:rsidTr="00871329">
        <w:trPr>
          <w:trHeight w:val="284"/>
        </w:trPr>
        <w:tc>
          <w:tcPr>
            <w:tcW w:w="2802" w:type="dxa"/>
            <w:gridSpan w:val="2"/>
            <w:tcBorders>
              <w:top w:val="single" w:sz="12" w:space="0" w:color="auto"/>
              <w:bottom w:val="single" w:sz="4" w:space="0" w:color="auto"/>
            </w:tcBorders>
            <w:vAlign w:val="center"/>
          </w:tcPr>
          <w:p w:rsidR="00871329" w:rsidRPr="001355A6" w:rsidRDefault="00871329" w:rsidP="00871329">
            <w:pPr>
              <w:rPr>
                <w:rFonts w:ascii="Calibri" w:hAnsi="Calibri" w:cs="Calibri"/>
                <w:b/>
                <w:bCs/>
                <w:caps/>
                <w:sz w:val="22"/>
                <w:szCs w:val="20"/>
              </w:rPr>
            </w:pPr>
            <w:r>
              <w:rPr>
                <w:rFonts w:ascii="Calibri" w:hAnsi="Calibri" w:cs="Calibri"/>
                <w:b/>
                <w:bCs/>
                <w:caps/>
                <w:sz w:val="22"/>
                <w:szCs w:val="20"/>
              </w:rPr>
              <w:t>ADMINISTRÁTOR</w:t>
            </w:r>
            <w:r w:rsidRPr="001355A6">
              <w:rPr>
                <w:rFonts w:ascii="Calibri" w:hAnsi="Calibri" w:cs="Calibri"/>
                <w:b/>
                <w:bCs/>
                <w:caps/>
                <w:sz w:val="22"/>
                <w:szCs w:val="20"/>
              </w:rPr>
              <w:t>:</w:t>
            </w:r>
          </w:p>
        </w:tc>
        <w:tc>
          <w:tcPr>
            <w:tcW w:w="7457" w:type="dxa"/>
            <w:gridSpan w:val="3"/>
            <w:tcBorders>
              <w:top w:val="single" w:sz="12" w:space="0" w:color="auto"/>
              <w:bottom w:val="single" w:sz="4" w:space="0" w:color="auto"/>
            </w:tcBorders>
            <w:vAlign w:val="center"/>
          </w:tcPr>
          <w:p w:rsidR="00871329" w:rsidRPr="00A21570" w:rsidRDefault="00871329" w:rsidP="00871329">
            <w:pPr>
              <w:pStyle w:val="Bezmezer"/>
              <w:rPr>
                <w:rFonts w:asciiTheme="minorHAnsi" w:hAnsiTheme="minorHAnsi" w:cs="Arial"/>
                <w:b/>
              </w:rPr>
            </w:pPr>
            <w:r w:rsidRPr="00871329">
              <w:rPr>
                <w:rFonts w:asciiTheme="minorHAnsi" w:hAnsiTheme="minorHAnsi" w:cs="Arial"/>
                <w:b/>
              </w:rPr>
              <w:t>Centrální nákup, příspěvková organizace</w:t>
            </w:r>
          </w:p>
        </w:tc>
      </w:tr>
      <w:tr w:rsidR="00871329" w:rsidRPr="001355A6" w:rsidTr="00871329">
        <w:trPr>
          <w:trHeight w:val="284"/>
        </w:trPr>
        <w:tc>
          <w:tcPr>
            <w:tcW w:w="2802" w:type="dxa"/>
            <w:gridSpan w:val="2"/>
            <w:tcBorders>
              <w:bottom w:val="single" w:sz="4" w:space="0" w:color="auto"/>
            </w:tcBorders>
            <w:vAlign w:val="center"/>
          </w:tcPr>
          <w:p w:rsidR="00871329" w:rsidRPr="001355A6" w:rsidRDefault="00871329" w:rsidP="00871329">
            <w:pPr>
              <w:rPr>
                <w:rFonts w:ascii="Calibri" w:hAnsi="Calibri" w:cs="Calibri"/>
                <w:b/>
                <w:bCs/>
                <w:caps/>
                <w:sz w:val="22"/>
                <w:szCs w:val="20"/>
              </w:rPr>
            </w:pPr>
            <w:r w:rsidRPr="001355A6">
              <w:rPr>
                <w:rFonts w:ascii="Calibri" w:hAnsi="Calibri" w:cs="Calibri"/>
                <w:b/>
                <w:bCs/>
                <w:caps/>
                <w:sz w:val="22"/>
                <w:szCs w:val="20"/>
              </w:rPr>
              <w:t>SÍDLO:</w:t>
            </w:r>
          </w:p>
        </w:tc>
        <w:tc>
          <w:tcPr>
            <w:tcW w:w="7457" w:type="dxa"/>
            <w:gridSpan w:val="3"/>
            <w:tcBorders>
              <w:bottom w:val="single" w:sz="4" w:space="0" w:color="auto"/>
            </w:tcBorders>
            <w:vAlign w:val="center"/>
          </w:tcPr>
          <w:p w:rsidR="00871329" w:rsidRPr="00C23C89" w:rsidRDefault="00871329" w:rsidP="00871329">
            <w:pPr>
              <w:pStyle w:val="Bezmezer"/>
              <w:rPr>
                <w:rFonts w:asciiTheme="minorHAnsi" w:hAnsiTheme="minorHAnsi" w:cs="Arial"/>
              </w:rPr>
            </w:pPr>
            <w:r>
              <w:rPr>
                <w:rFonts w:asciiTheme="minorHAnsi" w:hAnsiTheme="minorHAnsi" w:cs="Arial"/>
              </w:rPr>
              <w:t>Vejprnická 663/56, 318 00 Plzeň</w:t>
            </w:r>
          </w:p>
        </w:tc>
      </w:tr>
      <w:tr w:rsidR="00871329" w:rsidRPr="001355A6" w:rsidTr="00871329">
        <w:trPr>
          <w:trHeight w:val="284"/>
        </w:trPr>
        <w:tc>
          <w:tcPr>
            <w:tcW w:w="2802" w:type="dxa"/>
            <w:gridSpan w:val="2"/>
            <w:tcBorders>
              <w:bottom w:val="single" w:sz="4" w:space="0" w:color="auto"/>
            </w:tcBorders>
            <w:vAlign w:val="center"/>
          </w:tcPr>
          <w:p w:rsidR="00871329" w:rsidRPr="001355A6" w:rsidRDefault="00871329" w:rsidP="00871329">
            <w:pPr>
              <w:rPr>
                <w:rFonts w:ascii="Calibri" w:hAnsi="Calibri" w:cs="Calibri"/>
                <w:b/>
                <w:bCs/>
                <w:caps/>
                <w:sz w:val="22"/>
                <w:szCs w:val="20"/>
              </w:rPr>
            </w:pPr>
            <w:r w:rsidRPr="001355A6">
              <w:rPr>
                <w:rFonts w:ascii="Calibri" w:hAnsi="Calibri" w:cs="Calibri"/>
                <w:b/>
                <w:bCs/>
                <w:caps/>
                <w:sz w:val="22"/>
                <w:szCs w:val="20"/>
              </w:rPr>
              <w:t>IČ</w:t>
            </w:r>
            <w:r>
              <w:rPr>
                <w:rFonts w:ascii="Calibri" w:hAnsi="Calibri" w:cs="Calibri"/>
                <w:b/>
                <w:bCs/>
                <w:caps/>
                <w:sz w:val="22"/>
                <w:szCs w:val="20"/>
              </w:rPr>
              <w:t>O</w:t>
            </w:r>
            <w:r w:rsidRPr="001355A6">
              <w:rPr>
                <w:rFonts w:ascii="Calibri" w:hAnsi="Calibri" w:cs="Calibri"/>
                <w:b/>
                <w:bCs/>
                <w:caps/>
                <w:sz w:val="22"/>
                <w:szCs w:val="20"/>
              </w:rPr>
              <w:t>:</w:t>
            </w:r>
          </w:p>
        </w:tc>
        <w:tc>
          <w:tcPr>
            <w:tcW w:w="7457" w:type="dxa"/>
            <w:gridSpan w:val="3"/>
            <w:tcBorders>
              <w:bottom w:val="single" w:sz="4" w:space="0" w:color="auto"/>
            </w:tcBorders>
            <w:vAlign w:val="center"/>
          </w:tcPr>
          <w:p w:rsidR="00871329" w:rsidRPr="00C23C89" w:rsidRDefault="00871329" w:rsidP="00871329">
            <w:pPr>
              <w:pStyle w:val="Bezmezer"/>
              <w:rPr>
                <w:rFonts w:asciiTheme="minorHAnsi" w:hAnsiTheme="minorHAnsi" w:cs="Arial"/>
              </w:rPr>
            </w:pPr>
            <w:r>
              <w:rPr>
                <w:rFonts w:asciiTheme="minorHAnsi" w:hAnsiTheme="minorHAnsi" w:cs="Arial"/>
              </w:rPr>
              <w:t>72046635</w:t>
            </w:r>
          </w:p>
        </w:tc>
      </w:tr>
      <w:tr w:rsidR="00871329" w:rsidRPr="001355A6" w:rsidTr="00871329">
        <w:trPr>
          <w:trHeight w:val="284"/>
        </w:trPr>
        <w:tc>
          <w:tcPr>
            <w:tcW w:w="2802" w:type="dxa"/>
            <w:gridSpan w:val="2"/>
            <w:tcBorders>
              <w:bottom w:val="single" w:sz="4" w:space="0" w:color="auto"/>
            </w:tcBorders>
            <w:vAlign w:val="center"/>
          </w:tcPr>
          <w:p w:rsidR="00871329" w:rsidRPr="001355A6" w:rsidRDefault="00871329" w:rsidP="00871329">
            <w:pPr>
              <w:rPr>
                <w:rFonts w:ascii="Calibri" w:hAnsi="Calibri" w:cs="Calibri"/>
                <w:b/>
                <w:bCs/>
                <w:caps/>
                <w:sz w:val="22"/>
                <w:szCs w:val="20"/>
              </w:rPr>
            </w:pPr>
            <w:r>
              <w:rPr>
                <w:rFonts w:asciiTheme="minorHAnsi" w:hAnsiTheme="minorHAnsi"/>
                <w:b/>
                <w:sz w:val="22"/>
                <w:szCs w:val="22"/>
              </w:rPr>
              <w:t>ZÁPIS v OR:</w:t>
            </w:r>
          </w:p>
        </w:tc>
        <w:tc>
          <w:tcPr>
            <w:tcW w:w="7457" w:type="dxa"/>
            <w:gridSpan w:val="3"/>
            <w:tcBorders>
              <w:bottom w:val="single" w:sz="4" w:space="0" w:color="auto"/>
            </w:tcBorders>
            <w:vAlign w:val="center"/>
          </w:tcPr>
          <w:p w:rsidR="00871329" w:rsidRPr="00C23C89" w:rsidRDefault="00871329" w:rsidP="00871329">
            <w:pPr>
              <w:pStyle w:val="Bezmezer"/>
              <w:rPr>
                <w:rFonts w:asciiTheme="minorHAnsi" w:hAnsiTheme="minorHAnsi" w:cs="Arial"/>
              </w:rPr>
            </w:pPr>
            <w:r>
              <w:rPr>
                <w:rFonts w:asciiTheme="minorHAnsi" w:hAnsiTheme="minorHAnsi" w:cs="Arial"/>
              </w:rPr>
              <w:t>KS v Plzni, oddíl Pr, vložka 723</w:t>
            </w:r>
          </w:p>
        </w:tc>
      </w:tr>
      <w:tr w:rsidR="00871329" w:rsidRPr="001355A6" w:rsidTr="00804044">
        <w:trPr>
          <w:trHeight w:val="284"/>
        </w:trPr>
        <w:tc>
          <w:tcPr>
            <w:tcW w:w="2802" w:type="dxa"/>
            <w:gridSpan w:val="2"/>
            <w:tcBorders>
              <w:bottom w:val="single" w:sz="4" w:space="0" w:color="auto"/>
            </w:tcBorders>
            <w:vAlign w:val="center"/>
          </w:tcPr>
          <w:p w:rsidR="00871329" w:rsidRPr="001355A6" w:rsidRDefault="00871329" w:rsidP="00871329">
            <w:pPr>
              <w:rPr>
                <w:rFonts w:ascii="Calibri" w:hAnsi="Calibri" w:cs="Calibri"/>
                <w:b/>
                <w:bCs/>
                <w:caps/>
                <w:sz w:val="22"/>
                <w:szCs w:val="20"/>
              </w:rPr>
            </w:pPr>
            <w:r>
              <w:rPr>
                <w:rFonts w:ascii="Calibri" w:hAnsi="Calibri" w:cs="Calibri"/>
                <w:b/>
                <w:bCs/>
                <w:caps/>
                <w:sz w:val="22"/>
                <w:szCs w:val="20"/>
              </w:rPr>
              <w:t>zastoupený:</w:t>
            </w:r>
          </w:p>
        </w:tc>
        <w:tc>
          <w:tcPr>
            <w:tcW w:w="7457" w:type="dxa"/>
            <w:gridSpan w:val="3"/>
            <w:tcBorders>
              <w:bottom w:val="single" w:sz="4" w:space="0" w:color="auto"/>
            </w:tcBorders>
            <w:vAlign w:val="center"/>
          </w:tcPr>
          <w:p w:rsidR="00871329" w:rsidRPr="00C23C89" w:rsidRDefault="00871329" w:rsidP="00871329">
            <w:pPr>
              <w:pStyle w:val="Bezmezer"/>
              <w:rPr>
                <w:rFonts w:asciiTheme="minorHAnsi" w:hAnsiTheme="minorHAnsi" w:cs="Arial"/>
              </w:rPr>
            </w:pPr>
            <w:r w:rsidRPr="00C23C89">
              <w:rPr>
                <w:rFonts w:asciiTheme="minorHAnsi" w:hAnsiTheme="minorHAnsi" w:cs="Arial"/>
              </w:rPr>
              <w:t xml:space="preserve">Ing. </w:t>
            </w:r>
            <w:r>
              <w:rPr>
                <w:rFonts w:asciiTheme="minorHAnsi" w:hAnsiTheme="minorHAnsi" w:cs="Arial"/>
              </w:rPr>
              <w:t>Jiřím Heranem, ředitelem</w:t>
            </w:r>
          </w:p>
        </w:tc>
      </w:tr>
      <w:tr w:rsidR="00FA472E" w:rsidRPr="001355A6" w:rsidTr="00804044">
        <w:trPr>
          <w:trHeight w:val="284"/>
        </w:trPr>
        <w:tc>
          <w:tcPr>
            <w:tcW w:w="10259" w:type="dxa"/>
            <w:gridSpan w:val="5"/>
            <w:tcBorders>
              <w:top w:val="single" w:sz="4" w:space="0" w:color="auto"/>
            </w:tcBorders>
            <w:shd w:val="clear" w:color="auto" w:fill="D9D9D9" w:themeFill="background1" w:themeFillShade="D9"/>
            <w:vAlign w:val="center"/>
          </w:tcPr>
          <w:p w:rsidR="00FA472E" w:rsidRPr="001355A6" w:rsidRDefault="00FA472E" w:rsidP="00FA472E">
            <w:pPr>
              <w:jc w:val="center"/>
              <w:rPr>
                <w:rFonts w:ascii="Calibri" w:hAnsi="Calibri" w:cs="Calibri"/>
                <w:b/>
                <w:bCs/>
                <w:caps/>
                <w:sz w:val="22"/>
                <w:szCs w:val="20"/>
              </w:rPr>
            </w:pPr>
            <w:r w:rsidRPr="001355A6">
              <w:rPr>
                <w:rFonts w:ascii="Calibri" w:hAnsi="Calibri" w:cs="Calibri"/>
                <w:b/>
                <w:bCs/>
                <w:caps/>
                <w:sz w:val="22"/>
                <w:szCs w:val="20"/>
              </w:rPr>
              <w:t>nÁZEV VEŘEJNÉ ZAKÁZKY</w:t>
            </w:r>
          </w:p>
        </w:tc>
      </w:tr>
      <w:tr w:rsidR="00FA472E" w:rsidRPr="001355A6" w:rsidTr="00FA472E">
        <w:trPr>
          <w:trHeight w:val="693"/>
        </w:trPr>
        <w:tc>
          <w:tcPr>
            <w:tcW w:w="10259" w:type="dxa"/>
            <w:gridSpan w:val="5"/>
            <w:vAlign w:val="center"/>
          </w:tcPr>
          <w:p w:rsidR="002C4F6D" w:rsidRPr="002C4F6D" w:rsidRDefault="002C4F6D" w:rsidP="002C4F6D">
            <w:pPr>
              <w:pStyle w:val="Bezmezer"/>
            </w:pPr>
          </w:p>
          <w:p w:rsidR="008D0ADA" w:rsidRPr="008D0ADA" w:rsidRDefault="0087636A" w:rsidP="008D0ADA">
            <w:pPr>
              <w:jc w:val="center"/>
              <w:rPr>
                <w:rFonts w:ascii="Calibri" w:eastAsia="Calibri" w:hAnsi="Calibri" w:cs="Calibri"/>
                <w:b/>
                <w:sz w:val="36"/>
                <w:szCs w:val="36"/>
                <w:lang w:eastAsia="en-US"/>
              </w:rPr>
            </w:pPr>
            <w:r w:rsidRPr="0087636A">
              <w:rPr>
                <w:rFonts w:ascii="Calibri" w:eastAsia="Calibri" w:hAnsi="Calibri" w:cs="Calibri"/>
                <w:b/>
                <w:bCs/>
                <w:caps/>
                <w:sz w:val="36"/>
                <w:szCs w:val="36"/>
                <w:lang w:eastAsia="en-US"/>
              </w:rPr>
              <w:t>„</w:t>
            </w:r>
            <w:r w:rsidR="008D0ADA" w:rsidRPr="008D0ADA">
              <w:rPr>
                <w:rFonts w:ascii="Calibri" w:eastAsia="Calibri" w:hAnsi="Calibri" w:cs="Calibri"/>
                <w:b/>
                <w:sz w:val="36"/>
                <w:szCs w:val="36"/>
                <w:lang w:eastAsia="en-US"/>
              </w:rPr>
              <w:t xml:space="preserve">Výběr dopravce pro uzavření smlouvy o veřejných službách v přepravě cestujících ve veřejné drážní osobní dopravě v Plzeňském kraji pro provoz vlaků na Lince P2 </w:t>
            </w:r>
          </w:p>
          <w:p w:rsidR="008D0ADA" w:rsidRPr="008D0ADA" w:rsidRDefault="008D0ADA" w:rsidP="008D0ADA">
            <w:pPr>
              <w:jc w:val="center"/>
              <w:rPr>
                <w:rFonts w:ascii="Calibri" w:eastAsia="Calibri" w:hAnsi="Calibri" w:cs="Calibri"/>
                <w:b/>
                <w:sz w:val="36"/>
                <w:szCs w:val="36"/>
                <w:lang w:eastAsia="en-US"/>
              </w:rPr>
            </w:pPr>
            <w:r w:rsidRPr="008D0ADA">
              <w:rPr>
                <w:rFonts w:ascii="Calibri" w:eastAsia="Calibri" w:hAnsi="Calibri" w:cs="Calibri"/>
                <w:b/>
                <w:sz w:val="36"/>
                <w:szCs w:val="36"/>
                <w:lang w:eastAsia="en-US"/>
              </w:rPr>
              <w:t xml:space="preserve">(Beroun – Kařez – Rokycany – Plzeň - Klatovy) </w:t>
            </w:r>
          </w:p>
          <w:p w:rsidR="0087636A" w:rsidRPr="0087636A" w:rsidRDefault="008D0ADA" w:rsidP="008D0ADA">
            <w:pPr>
              <w:jc w:val="center"/>
              <w:rPr>
                <w:rFonts w:ascii="Calibri" w:eastAsia="Calibri" w:hAnsi="Calibri" w:cs="Calibri"/>
                <w:b/>
                <w:bCs/>
                <w:sz w:val="36"/>
                <w:szCs w:val="36"/>
                <w:lang w:eastAsia="en-US"/>
              </w:rPr>
            </w:pPr>
            <w:r w:rsidRPr="008D0ADA">
              <w:rPr>
                <w:rFonts w:ascii="Calibri" w:eastAsia="Calibri" w:hAnsi="Calibri" w:cs="Calibri"/>
                <w:b/>
                <w:sz w:val="36"/>
                <w:szCs w:val="36"/>
                <w:lang w:eastAsia="en-US"/>
              </w:rPr>
              <w:t>v letech 2020 - 2035</w:t>
            </w:r>
            <w:r w:rsidR="0087636A" w:rsidRPr="0087636A">
              <w:rPr>
                <w:rFonts w:ascii="Calibri" w:eastAsia="Calibri" w:hAnsi="Calibri" w:cs="Calibri"/>
                <w:b/>
                <w:bCs/>
                <w:sz w:val="36"/>
                <w:szCs w:val="36"/>
                <w:lang w:eastAsia="en-US"/>
              </w:rPr>
              <w:t>“</w:t>
            </w:r>
          </w:p>
          <w:p w:rsidR="00804044" w:rsidRPr="002C4F6D" w:rsidRDefault="00804044" w:rsidP="00804044">
            <w:pPr>
              <w:pStyle w:val="Bezmezer"/>
              <w:ind w:left="720"/>
              <w:jc w:val="center"/>
            </w:pPr>
          </w:p>
        </w:tc>
      </w:tr>
      <w:tr w:rsidR="00FA472E" w:rsidRPr="001355A6" w:rsidTr="00FA472E">
        <w:trPr>
          <w:trHeight w:val="693"/>
        </w:trPr>
        <w:tc>
          <w:tcPr>
            <w:tcW w:w="10259" w:type="dxa"/>
            <w:gridSpan w:val="5"/>
            <w:vAlign w:val="center"/>
          </w:tcPr>
          <w:p w:rsidR="00FA472E" w:rsidRPr="00C719A4" w:rsidRDefault="00D05774" w:rsidP="008D0ADA">
            <w:pPr>
              <w:spacing w:before="120" w:after="120"/>
              <w:ind w:right="-24"/>
              <w:jc w:val="center"/>
              <w:rPr>
                <w:rFonts w:ascii="Calibri" w:hAnsi="Calibri" w:cs="Calibri"/>
                <w:b/>
                <w:bCs/>
                <w:caps/>
                <w:sz w:val="20"/>
                <w:szCs w:val="20"/>
              </w:rPr>
            </w:pPr>
            <w:r>
              <w:rPr>
                <w:rFonts w:ascii="Calibri" w:hAnsi="Calibri" w:cs="Tahoma"/>
                <w:bCs/>
                <w:caps/>
                <w:sz w:val="20"/>
                <w:szCs w:val="20"/>
              </w:rPr>
              <w:t>NA</w:t>
            </w:r>
            <w:r w:rsidR="008D0ADA">
              <w:rPr>
                <w:rFonts w:ascii="Calibri" w:hAnsi="Calibri" w:cs="Tahoma"/>
                <w:bCs/>
                <w:caps/>
                <w:sz w:val="20"/>
                <w:szCs w:val="20"/>
              </w:rPr>
              <w:t>bídkové řízení dle § 10 a násl zákona č. 194/2010 sb., o veřejných službách v přepravě cestujících a o změně dalších zákonů, v platném znění</w:t>
            </w:r>
            <w:r w:rsidR="00FA472E">
              <w:rPr>
                <w:rFonts w:ascii="Calibri" w:hAnsi="Calibri" w:cs="Tahoma"/>
                <w:bCs/>
                <w:caps/>
                <w:sz w:val="20"/>
                <w:szCs w:val="20"/>
              </w:rPr>
              <w:t xml:space="preserve"> (dále „Z</w:t>
            </w:r>
            <w:r w:rsidR="008D0ADA">
              <w:rPr>
                <w:rFonts w:ascii="Calibri" w:hAnsi="Calibri" w:cs="Tahoma"/>
                <w:bCs/>
                <w:caps/>
                <w:sz w:val="20"/>
                <w:szCs w:val="20"/>
              </w:rPr>
              <w:t>ovs</w:t>
            </w:r>
            <w:r w:rsidR="00FA472E">
              <w:rPr>
                <w:rFonts w:ascii="Calibri" w:hAnsi="Calibri" w:cs="Tahoma"/>
                <w:bCs/>
                <w:caps/>
                <w:sz w:val="20"/>
                <w:szCs w:val="20"/>
              </w:rPr>
              <w:t>“)</w:t>
            </w:r>
          </w:p>
        </w:tc>
      </w:tr>
      <w:tr w:rsidR="002C4F6D" w:rsidRPr="001355A6" w:rsidTr="00804044">
        <w:trPr>
          <w:trHeight w:val="693"/>
        </w:trPr>
        <w:tc>
          <w:tcPr>
            <w:tcW w:w="2564" w:type="dxa"/>
            <w:tcBorders>
              <w:bottom w:val="single" w:sz="4" w:space="0" w:color="auto"/>
            </w:tcBorders>
            <w:shd w:val="clear" w:color="auto" w:fill="D9D9D9" w:themeFill="background1" w:themeFillShade="D9"/>
            <w:vAlign w:val="center"/>
          </w:tcPr>
          <w:p w:rsidR="002C4F6D" w:rsidRPr="002C4F6D" w:rsidRDefault="008D0ADA" w:rsidP="008D0ADA">
            <w:pPr>
              <w:rPr>
                <w:rFonts w:ascii="Calibri" w:hAnsi="Calibri" w:cs="Calibri"/>
                <w:b/>
                <w:bCs/>
                <w:caps/>
                <w:sz w:val="22"/>
                <w:szCs w:val="20"/>
              </w:rPr>
            </w:pPr>
            <w:r>
              <w:rPr>
                <w:rFonts w:ascii="Calibri" w:hAnsi="Calibri" w:cs="Calibri"/>
                <w:b/>
                <w:bCs/>
                <w:caps/>
                <w:sz w:val="22"/>
                <w:szCs w:val="20"/>
                <w:shd w:val="clear" w:color="auto" w:fill="D9D9D9" w:themeFill="background1" w:themeFillShade="D9"/>
              </w:rPr>
              <w:t>EVIDENČNÍ ČÍSLO</w:t>
            </w:r>
            <w:r w:rsidR="002C4F6D" w:rsidRPr="002C4F6D">
              <w:rPr>
                <w:rFonts w:ascii="Calibri" w:hAnsi="Calibri" w:cs="Calibri"/>
                <w:b/>
                <w:bCs/>
                <w:caps/>
                <w:sz w:val="22"/>
                <w:szCs w:val="20"/>
              </w:rPr>
              <w:t>:</w:t>
            </w:r>
          </w:p>
        </w:tc>
        <w:tc>
          <w:tcPr>
            <w:tcW w:w="7695" w:type="dxa"/>
            <w:gridSpan w:val="4"/>
            <w:vAlign w:val="center"/>
          </w:tcPr>
          <w:p w:rsidR="002C4F6D" w:rsidRPr="008D0ADA" w:rsidRDefault="008D0ADA" w:rsidP="008D0ADA">
            <w:pPr>
              <w:rPr>
                <w:rFonts w:ascii="Calibri" w:hAnsi="Calibri" w:cs="Calibri"/>
                <w:sz w:val="22"/>
              </w:rPr>
            </w:pPr>
            <w:r w:rsidRPr="008D0ADA">
              <w:rPr>
                <w:rFonts w:ascii="Calibri" w:hAnsi="Calibri" w:cs="Calibri"/>
                <w:sz w:val="22"/>
              </w:rPr>
              <w:t xml:space="preserve">VVZ: </w:t>
            </w:r>
            <w:r w:rsidR="000916C4" w:rsidRPr="008D0ADA">
              <w:rPr>
                <w:rFonts w:ascii="Calibri" w:hAnsi="Calibri" w:cs="Calibri"/>
                <w:sz w:val="22"/>
              </w:rPr>
              <w:t>Z201</w:t>
            </w:r>
            <w:r w:rsidR="00A94A3D" w:rsidRPr="008D0ADA">
              <w:rPr>
                <w:rFonts w:ascii="Calibri" w:hAnsi="Calibri" w:cs="Calibri"/>
                <w:sz w:val="22"/>
              </w:rPr>
              <w:t>8-</w:t>
            </w:r>
            <w:r w:rsidRPr="008D0ADA">
              <w:rPr>
                <w:rFonts w:ascii="Calibri" w:hAnsi="Calibri" w:cs="Calibri"/>
                <w:sz w:val="22"/>
              </w:rPr>
              <w:t>020830</w:t>
            </w:r>
          </w:p>
          <w:p w:rsidR="008D0ADA" w:rsidRPr="002C4F6D" w:rsidRDefault="008D0ADA" w:rsidP="008D0ADA">
            <w:pPr>
              <w:rPr>
                <w:rFonts w:ascii="Calibri" w:hAnsi="Calibri" w:cs="Calibri"/>
                <w:b/>
                <w:bCs/>
                <w:caps/>
                <w:sz w:val="22"/>
                <w:szCs w:val="20"/>
              </w:rPr>
            </w:pPr>
            <w:r w:rsidRPr="008D0ADA">
              <w:rPr>
                <w:rFonts w:ascii="Calibri" w:hAnsi="Calibri" w:cs="Calibri"/>
                <w:sz w:val="22"/>
              </w:rPr>
              <w:t>TED: 2018/S 117-265952</w:t>
            </w:r>
          </w:p>
        </w:tc>
      </w:tr>
      <w:tr w:rsidR="00804044" w:rsidRPr="001355A6" w:rsidTr="00804044">
        <w:trPr>
          <w:trHeight w:val="284"/>
        </w:trPr>
        <w:tc>
          <w:tcPr>
            <w:tcW w:w="2564" w:type="dxa"/>
            <w:shd w:val="clear" w:color="auto" w:fill="D9D9D9" w:themeFill="background1" w:themeFillShade="D9"/>
            <w:vAlign w:val="center"/>
          </w:tcPr>
          <w:p w:rsidR="00804044" w:rsidRPr="00804044" w:rsidRDefault="00804044" w:rsidP="002C4F6D">
            <w:pPr>
              <w:rPr>
                <w:rFonts w:ascii="Calibri" w:hAnsi="Calibri" w:cs="Calibri"/>
                <w:b/>
              </w:rPr>
            </w:pPr>
            <w:r w:rsidRPr="00804044">
              <w:rPr>
                <w:rFonts w:ascii="Calibri" w:hAnsi="Calibri" w:cs="Calibri"/>
                <w:b/>
                <w:sz w:val="20"/>
              </w:rPr>
              <w:t>Spisová značka:</w:t>
            </w:r>
          </w:p>
        </w:tc>
        <w:tc>
          <w:tcPr>
            <w:tcW w:w="2565" w:type="dxa"/>
            <w:gridSpan w:val="2"/>
            <w:vAlign w:val="center"/>
          </w:tcPr>
          <w:p w:rsidR="00804044" w:rsidRDefault="008D0ADA" w:rsidP="002C4F6D">
            <w:pPr>
              <w:rPr>
                <w:rFonts w:ascii="Calibri" w:hAnsi="Calibri" w:cs="Calibri"/>
              </w:rPr>
            </w:pPr>
            <w:r>
              <w:rPr>
                <w:rFonts w:ascii="Calibri" w:hAnsi="Calibri" w:cs="Calibri"/>
                <w:sz w:val="20"/>
              </w:rPr>
              <w:t>CN/81/CN/18</w:t>
            </w:r>
          </w:p>
        </w:tc>
        <w:tc>
          <w:tcPr>
            <w:tcW w:w="2565" w:type="dxa"/>
            <w:shd w:val="clear" w:color="auto" w:fill="D9D9D9" w:themeFill="background1" w:themeFillShade="D9"/>
            <w:vAlign w:val="center"/>
          </w:tcPr>
          <w:p w:rsidR="00804044" w:rsidRPr="00804044" w:rsidRDefault="00804044" w:rsidP="002C4F6D">
            <w:pPr>
              <w:rPr>
                <w:rFonts w:ascii="Calibri" w:hAnsi="Calibri" w:cs="Calibri"/>
                <w:b/>
              </w:rPr>
            </w:pPr>
            <w:r w:rsidRPr="00804044">
              <w:rPr>
                <w:rFonts w:ascii="Calibri" w:hAnsi="Calibri" w:cs="Calibri"/>
                <w:b/>
                <w:sz w:val="20"/>
              </w:rPr>
              <w:t>Číslo jednací:</w:t>
            </w:r>
          </w:p>
        </w:tc>
        <w:tc>
          <w:tcPr>
            <w:tcW w:w="2565" w:type="dxa"/>
            <w:vAlign w:val="center"/>
          </w:tcPr>
          <w:p w:rsidR="00804044" w:rsidRDefault="0020246E" w:rsidP="002C4F6D">
            <w:pPr>
              <w:rPr>
                <w:rFonts w:ascii="Calibri" w:hAnsi="Calibri" w:cs="Calibri"/>
              </w:rPr>
            </w:pPr>
            <w:r>
              <w:rPr>
                <w:rFonts w:ascii="Calibri" w:hAnsi="Calibri" w:cs="Calibri"/>
                <w:sz w:val="20"/>
              </w:rPr>
              <w:t>4170</w:t>
            </w:r>
            <w:r w:rsidR="00C143E4">
              <w:rPr>
                <w:rFonts w:ascii="Calibri" w:hAnsi="Calibri" w:cs="Calibri"/>
                <w:sz w:val="20"/>
              </w:rPr>
              <w:t>/18</w:t>
            </w:r>
            <w:r w:rsidR="000916C4" w:rsidRPr="000916C4">
              <w:rPr>
                <w:rFonts w:ascii="Calibri" w:hAnsi="Calibri" w:cs="Calibri"/>
                <w:sz w:val="20"/>
              </w:rPr>
              <w:t>/CN</w:t>
            </w:r>
          </w:p>
        </w:tc>
      </w:tr>
    </w:tbl>
    <w:p w:rsidR="00E42CFF" w:rsidRDefault="00E42CFF" w:rsidP="00E42CFF">
      <w:pPr>
        <w:pStyle w:val="Bezmezer"/>
      </w:pPr>
    </w:p>
    <w:p w:rsidR="00F76FF2" w:rsidRDefault="00F76FF2" w:rsidP="00E42CFF">
      <w:pPr>
        <w:pStyle w:val="Bezmezer"/>
        <w:jc w:val="both"/>
        <w:rPr>
          <w:sz w:val="24"/>
          <w:szCs w:val="24"/>
        </w:rPr>
      </w:pPr>
    </w:p>
    <w:p w:rsidR="00EA157E" w:rsidRPr="008D0ADA" w:rsidRDefault="00A21570" w:rsidP="008D0ADA">
      <w:pPr>
        <w:pStyle w:val="Bezmezer"/>
        <w:jc w:val="both"/>
        <w:rPr>
          <w:b/>
          <w:sz w:val="24"/>
          <w:szCs w:val="24"/>
        </w:rPr>
      </w:pPr>
      <w:r w:rsidRPr="00E42CFF">
        <w:rPr>
          <w:sz w:val="24"/>
          <w:szCs w:val="24"/>
        </w:rPr>
        <w:t xml:space="preserve">Ve věci nadlimitní veřejné zakázky na </w:t>
      </w:r>
      <w:r w:rsidR="008D0ADA">
        <w:rPr>
          <w:sz w:val="24"/>
          <w:szCs w:val="24"/>
        </w:rPr>
        <w:t>služby</w:t>
      </w:r>
      <w:r w:rsidRPr="00E42CFF">
        <w:rPr>
          <w:sz w:val="24"/>
          <w:szCs w:val="24"/>
        </w:rPr>
        <w:t xml:space="preserve"> „</w:t>
      </w:r>
      <w:r w:rsidR="008D0ADA" w:rsidRPr="008D0ADA">
        <w:rPr>
          <w:b/>
          <w:sz w:val="24"/>
          <w:szCs w:val="24"/>
        </w:rPr>
        <w:t>Výběr dopravce pro uzavření smlouvy o veřejných službách v přepravě cestujících ve veřejné drážní osobní dopravě v Plzeňském kraj</w:t>
      </w:r>
      <w:r w:rsidR="008D0ADA">
        <w:rPr>
          <w:b/>
          <w:sz w:val="24"/>
          <w:szCs w:val="24"/>
        </w:rPr>
        <w:t xml:space="preserve">i pro provoz vlaků na Lince P2 </w:t>
      </w:r>
      <w:r w:rsidR="008D0ADA" w:rsidRPr="008D0ADA">
        <w:rPr>
          <w:b/>
          <w:sz w:val="24"/>
          <w:szCs w:val="24"/>
        </w:rPr>
        <w:t>(Beroun – Kařez</w:t>
      </w:r>
      <w:r w:rsidR="008D0ADA">
        <w:rPr>
          <w:b/>
          <w:sz w:val="24"/>
          <w:szCs w:val="24"/>
        </w:rPr>
        <w:t xml:space="preserve"> – Rokycany – Plzeň - Klatovy) </w:t>
      </w:r>
      <w:r w:rsidR="008D0ADA" w:rsidRPr="008D0ADA">
        <w:rPr>
          <w:b/>
          <w:sz w:val="24"/>
          <w:szCs w:val="24"/>
        </w:rPr>
        <w:t>v letech 2020 - 2035</w:t>
      </w:r>
      <w:r w:rsidR="008D0ADA">
        <w:rPr>
          <w:sz w:val="24"/>
          <w:szCs w:val="24"/>
        </w:rPr>
        <w:t>“</w:t>
      </w:r>
      <w:r w:rsidRPr="00E42CFF">
        <w:rPr>
          <w:sz w:val="24"/>
          <w:szCs w:val="24"/>
        </w:rPr>
        <w:t xml:space="preserve">, poskytuje </w:t>
      </w:r>
      <w:r w:rsidR="00ED23D0">
        <w:rPr>
          <w:sz w:val="24"/>
          <w:szCs w:val="24"/>
        </w:rPr>
        <w:t>objednatel</w:t>
      </w:r>
      <w:r w:rsidRPr="00E42CFF">
        <w:rPr>
          <w:sz w:val="24"/>
          <w:szCs w:val="24"/>
        </w:rPr>
        <w:t xml:space="preserve"> </w:t>
      </w:r>
      <w:r w:rsidR="008D0ADA">
        <w:rPr>
          <w:b/>
          <w:sz w:val="24"/>
          <w:szCs w:val="24"/>
        </w:rPr>
        <w:t>Plzeňský kraj</w:t>
      </w:r>
      <w:r w:rsidR="00871329" w:rsidRPr="00E42CFF">
        <w:rPr>
          <w:b/>
          <w:sz w:val="24"/>
          <w:szCs w:val="24"/>
        </w:rPr>
        <w:t xml:space="preserve"> </w:t>
      </w:r>
      <w:r w:rsidR="00871329" w:rsidRPr="00E42CFF">
        <w:rPr>
          <w:sz w:val="24"/>
          <w:szCs w:val="24"/>
        </w:rPr>
        <w:t>prostřednictvím administrátora vysvětlení zadávací dokumentace v souladu s § 98</w:t>
      </w:r>
      <w:r w:rsidR="00D93CE7">
        <w:rPr>
          <w:sz w:val="24"/>
          <w:szCs w:val="24"/>
        </w:rPr>
        <w:t xml:space="preserve"> a § 99</w:t>
      </w:r>
      <w:r w:rsidR="00871329" w:rsidRPr="00E42CFF">
        <w:rPr>
          <w:sz w:val="24"/>
          <w:szCs w:val="24"/>
        </w:rPr>
        <w:t xml:space="preserve"> ZZVZ</w:t>
      </w:r>
      <w:r w:rsidRPr="00E42CFF">
        <w:rPr>
          <w:sz w:val="24"/>
          <w:szCs w:val="24"/>
        </w:rPr>
        <w:t>.</w:t>
      </w:r>
    </w:p>
    <w:p w:rsidR="008326D0" w:rsidRPr="00E42CFF" w:rsidRDefault="008326D0" w:rsidP="00E42CFF">
      <w:pPr>
        <w:pStyle w:val="Bezmezer"/>
        <w:jc w:val="both"/>
        <w:rPr>
          <w:sz w:val="24"/>
          <w:szCs w:val="24"/>
        </w:rPr>
      </w:pPr>
    </w:p>
    <w:p w:rsidR="0020246E" w:rsidRDefault="0020246E" w:rsidP="008326D0">
      <w:pPr>
        <w:pStyle w:val="Bezmezer"/>
        <w:jc w:val="both"/>
        <w:rPr>
          <w:b/>
          <w:sz w:val="24"/>
        </w:rPr>
      </w:pPr>
    </w:p>
    <w:p w:rsidR="008326D0" w:rsidRDefault="008326D0" w:rsidP="008326D0">
      <w:pPr>
        <w:pStyle w:val="Bezmezer"/>
        <w:jc w:val="both"/>
        <w:rPr>
          <w:sz w:val="24"/>
          <w:szCs w:val="24"/>
        </w:rPr>
      </w:pPr>
      <w:bookmarkStart w:id="0" w:name="_GoBack"/>
      <w:bookmarkEnd w:id="0"/>
      <w:r w:rsidRPr="00EA157E">
        <w:rPr>
          <w:sz w:val="24"/>
          <w:szCs w:val="24"/>
        </w:rPr>
        <w:t xml:space="preserve">Dne </w:t>
      </w:r>
      <w:r w:rsidR="005869B1">
        <w:rPr>
          <w:sz w:val="24"/>
          <w:szCs w:val="24"/>
        </w:rPr>
        <w:t>25</w:t>
      </w:r>
      <w:r w:rsidR="008D0ADA">
        <w:rPr>
          <w:sz w:val="24"/>
          <w:szCs w:val="24"/>
        </w:rPr>
        <w:t>. 7</w:t>
      </w:r>
      <w:r>
        <w:rPr>
          <w:sz w:val="24"/>
          <w:szCs w:val="24"/>
        </w:rPr>
        <w:t>. 2018</w:t>
      </w:r>
      <w:r w:rsidRPr="00EA157E">
        <w:rPr>
          <w:sz w:val="24"/>
          <w:szCs w:val="24"/>
        </w:rPr>
        <w:t xml:space="preserve"> obdržel </w:t>
      </w:r>
      <w:r w:rsidR="00ED23D0">
        <w:rPr>
          <w:sz w:val="24"/>
          <w:szCs w:val="24"/>
        </w:rPr>
        <w:t>objednatel</w:t>
      </w:r>
      <w:r w:rsidRPr="00EA157E">
        <w:rPr>
          <w:sz w:val="24"/>
          <w:szCs w:val="24"/>
        </w:rPr>
        <w:t xml:space="preserve"> žádost o vysvětlení zadávací dokumentace od jednoho z do</w:t>
      </w:r>
      <w:r w:rsidR="007D7034">
        <w:rPr>
          <w:sz w:val="24"/>
          <w:szCs w:val="24"/>
        </w:rPr>
        <w:t>pravců</w:t>
      </w:r>
      <w:r w:rsidRPr="00EA157E">
        <w:rPr>
          <w:sz w:val="24"/>
          <w:szCs w:val="24"/>
        </w:rPr>
        <w:t>, na kterou tímto odpovídá.</w:t>
      </w:r>
    </w:p>
    <w:p w:rsidR="007D7034" w:rsidRDefault="007D7034" w:rsidP="008326D0">
      <w:pPr>
        <w:pStyle w:val="Bezmezer"/>
        <w:jc w:val="both"/>
        <w:rPr>
          <w:sz w:val="24"/>
          <w:szCs w:val="24"/>
        </w:rPr>
      </w:pPr>
    </w:p>
    <w:p w:rsidR="00ED23D0" w:rsidRDefault="00ED23D0" w:rsidP="008326D0">
      <w:pPr>
        <w:pStyle w:val="Bezmezer"/>
        <w:jc w:val="both"/>
        <w:rPr>
          <w:sz w:val="24"/>
          <w:szCs w:val="24"/>
        </w:rPr>
      </w:pPr>
      <w:r>
        <w:rPr>
          <w:sz w:val="24"/>
          <w:szCs w:val="24"/>
        </w:rPr>
        <w:t>---------------------------------------------------------------------------------------------------------------------------</w:t>
      </w:r>
    </w:p>
    <w:p w:rsidR="008326D0" w:rsidRDefault="008326D0" w:rsidP="0033406B">
      <w:pPr>
        <w:pStyle w:val="Bezmezer"/>
        <w:jc w:val="both"/>
        <w:rPr>
          <w:sz w:val="24"/>
          <w:szCs w:val="24"/>
        </w:rPr>
      </w:pPr>
    </w:p>
    <w:p w:rsidR="007D7034" w:rsidRDefault="007D7034" w:rsidP="0033406B">
      <w:pPr>
        <w:pStyle w:val="Bezmezer"/>
        <w:jc w:val="both"/>
        <w:rPr>
          <w:sz w:val="24"/>
          <w:szCs w:val="24"/>
        </w:rPr>
      </w:pPr>
    </w:p>
    <w:p w:rsidR="007D7034" w:rsidRDefault="007D7034" w:rsidP="0033406B">
      <w:pPr>
        <w:pStyle w:val="Bezmezer"/>
        <w:jc w:val="both"/>
        <w:rPr>
          <w:sz w:val="24"/>
          <w:szCs w:val="24"/>
        </w:rPr>
      </w:pPr>
    </w:p>
    <w:p w:rsidR="00553A64" w:rsidRDefault="005869B1" w:rsidP="005869B1">
      <w:pPr>
        <w:jc w:val="both"/>
        <w:rPr>
          <w:rFonts w:ascii="Calibri" w:eastAsia="Calibri" w:hAnsi="Calibri"/>
          <w:i/>
          <w:lang w:eastAsia="en-US"/>
        </w:rPr>
      </w:pPr>
      <w:r>
        <w:rPr>
          <w:rFonts w:ascii="Calibri" w:eastAsia="Calibri" w:hAnsi="Calibri"/>
          <w:b/>
          <w:lang w:eastAsia="en-US"/>
        </w:rPr>
        <w:t>Dotaz č. 60</w:t>
      </w:r>
      <w:r w:rsidR="008326D0" w:rsidRPr="00381F03">
        <w:rPr>
          <w:rFonts w:ascii="Calibri" w:eastAsia="Calibri" w:hAnsi="Calibri"/>
          <w:b/>
          <w:lang w:eastAsia="en-US"/>
        </w:rPr>
        <w:t xml:space="preserve">: </w:t>
      </w:r>
      <w:r w:rsidR="00964FF2" w:rsidRPr="006B1CC4">
        <w:rPr>
          <w:rFonts w:ascii="Calibri" w:eastAsia="Calibri" w:hAnsi="Calibri"/>
          <w:i/>
          <w:lang w:eastAsia="en-US"/>
        </w:rPr>
        <w:t>„</w:t>
      </w:r>
      <w:r w:rsidRPr="005869B1">
        <w:rPr>
          <w:rFonts w:ascii="Calibri" w:eastAsia="Calibri" w:hAnsi="Calibri"/>
          <w:i/>
          <w:lang w:eastAsia="en-US"/>
        </w:rPr>
        <w:t>Dotaz 1) Termín dodání vozidel</w:t>
      </w:r>
      <w:r>
        <w:rPr>
          <w:rFonts w:ascii="Calibri" w:eastAsia="Calibri" w:hAnsi="Calibri"/>
          <w:i/>
          <w:lang w:eastAsia="en-US"/>
        </w:rPr>
        <w:t>;</w:t>
      </w:r>
      <w:r w:rsidRPr="005869B1">
        <w:rPr>
          <w:rFonts w:ascii="Calibri" w:eastAsia="Calibri" w:hAnsi="Calibri"/>
          <w:i/>
          <w:lang w:eastAsia="en-US"/>
        </w:rPr>
        <w:t xml:space="preserve"> V čl. 8.2 Smlouvy je uvedeno, že za splnění povinnosti dle tohoto článku bude považováno například předložení potvrzení výrobce, že </w:t>
      </w:r>
      <w:r w:rsidRPr="005869B1">
        <w:rPr>
          <w:rFonts w:ascii="Calibri" w:eastAsia="Calibri" w:hAnsi="Calibri"/>
          <w:i/>
          <w:lang w:eastAsia="en-US"/>
        </w:rPr>
        <w:lastRenderedPageBreak/>
        <w:t>požadovaná vozidla budou vyrobena a dodána dopravci nejpozději do 30. 9. roku zahájení Plnění. Žádné jiné ustanovení ve Smlouvě ani v zadávací dokumentaci však termín 30. 9. nezmiňuje. Naopak následující článek 8.3 stanovuje, že Dopravce musí disponovat vozidly jeden měsíc před zahájením plnění (což je na počátku listopadu – přesné datum závisí na roce zahájení plnění). Vzhledem k formulaci čl. 8.2 se slovem „například“ se dotazujeme, zda je termín dodání vozidel do 30. 9. roku zahájení Plnění závazný, nebo postačuje splnit podmínky čl. 8.3.</w:t>
      </w:r>
      <w:r w:rsidR="00553A64">
        <w:rPr>
          <w:rFonts w:ascii="Calibri" w:eastAsia="Calibri" w:hAnsi="Calibri"/>
          <w:i/>
          <w:lang w:eastAsia="en-US"/>
        </w:rPr>
        <w:t>“</w:t>
      </w:r>
    </w:p>
    <w:p w:rsidR="008326D0" w:rsidRDefault="008326D0" w:rsidP="008326D0">
      <w:pPr>
        <w:rPr>
          <w:rFonts w:ascii="Calibri" w:eastAsia="Calibri" w:hAnsi="Calibri"/>
          <w:b/>
          <w:lang w:eastAsia="en-US"/>
        </w:rPr>
      </w:pPr>
    </w:p>
    <w:p w:rsidR="000C5634" w:rsidRDefault="008326D0" w:rsidP="008326D0">
      <w:pPr>
        <w:pStyle w:val="Bezmezer"/>
        <w:jc w:val="both"/>
        <w:rPr>
          <w:rFonts w:cs="Arial"/>
          <w:sz w:val="24"/>
          <w:szCs w:val="24"/>
        </w:rPr>
      </w:pPr>
      <w:r w:rsidRPr="00EA157E">
        <w:rPr>
          <w:b/>
          <w:sz w:val="24"/>
          <w:szCs w:val="24"/>
          <w:u w:val="single"/>
        </w:rPr>
        <w:t xml:space="preserve">Odpověď </w:t>
      </w:r>
      <w:r w:rsidR="000F66F1" w:rsidRPr="000F66F1">
        <w:rPr>
          <w:b/>
          <w:sz w:val="24"/>
          <w:szCs w:val="24"/>
          <w:u w:val="single"/>
        </w:rPr>
        <w:t>objednatele</w:t>
      </w:r>
      <w:r w:rsidRPr="00EA2F99">
        <w:rPr>
          <w:sz w:val="24"/>
          <w:szCs w:val="24"/>
        </w:rPr>
        <w:t xml:space="preserve">: </w:t>
      </w:r>
      <w:r w:rsidR="00E41664" w:rsidRPr="000C5634">
        <w:rPr>
          <w:sz w:val="24"/>
          <w:szCs w:val="24"/>
        </w:rPr>
        <w:t xml:space="preserve">Postačuje splnit podmínky článku 8.3 a) Smlouvy, tj. </w:t>
      </w:r>
      <w:r w:rsidR="00E41664" w:rsidRPr="000C5634">
        <w:rPr>
          <w:i/>
          <w:sz w:val="24"/>
          <w:szCs w:val="24"/>
        </w:rPr>
        <w:t>„nejpozději jeden (1) kalendářní měsíc před začátkem Doby plnění a dále po celou Dobu plnění mít zajištěna Vozidla dle přílohy č. 1 Smlouvy“</w:t>
      </w:r>
      <w:r w:rsidR="00E41664" w:rsidRPr="000C5634">
        <w:rPr>
          <w:sz w:val="24"/>
          <w:szCs w:val="24"/>
        </w:rPr>
        <w:t xml:space="preserve">. Dle odstavce 8.2 Smlouvy </w:t>
      </w:r>
      <w:r w:rsidR="00E41664" w:rsidRPr="000C5634">
        <w:rPr>
          <w:rFonts w:cs="Arial"/>
          <w:sz w:val="24"/>
          <w:szCs w:val="24"/>
        </w:rPr>
        <w:t xml:space="preserve">je Dopravce povinen prokázat Objednateli nejpozději do 30. 9. </w:t>
      </w:r>
      <w:r w:rsidR="00E41664" w:rsidRPr="000C5634">
        <w:rPr>
          <w:rFonts w:cs="Arial"/>
          <w:color w:val="000000"/>
          <w:sz w:val="24"/>
          <w:szCs w:val="24"/>
        </w:rPr>
        <w:t>kalendářního roku předcházejícího roku, v němž je Dopravce v souladu s odst. 16.2, 16.3 nebo 16.4 Smlouvy povinen zahájit Plnění</w:t>
      </w:r>
      <w:r w:rsidR="00E41664" w:rsidRPr="000C5634">
        <w:rPr>
          <w:rFonts w:cs="Arial"/>
          <w:sz w:val="24"/>
          <w:szCs w:val="24"/>
        </w:rPr>
        <w:t xml:space="preserve">, že pro účely plnění této Smlouvy bude disponovat Novými vozidly. </w:t>
      </w:r>
      <w:r w:rsidR="000C5634" w:rsidRPr="000C5634">
        <w:rPr>
          <w:rFonts w:cs="Arial"/>
          <w:sz w:val="24"/>
          <w:szCs w:val="24"/>
        </w:rPr>
        <w:t>Každý Dopravce doloží v případném potvrzení výrobce individuální termín v souladu s odstavcem 8.3 a) Smlouvy, kdy budou požadovaná vozidla vyrobena a dodána.</w:t>
      </w:r>
    </w:p>
    <w:p w:rsidR="000C5634" w:rsidRDefault="000C5634" w:rsidP="008326D0">
      <w:pPr>
        <w:pStyle w:val="Bezmezer"/>
        <w:jc w:val="both"/>
        <w:rPr>
          <w:rFonts w:cs="Arial"/>
          <w:sz w:val="24"/>
          <w:szCs w:val="24"/>
        </w:rPr>
      </w:pPr>
    </w:p>
    <w:p w:rsidR="007D7034" w:rsidRDefault="007D7034" w:rsidP="008326D0">
      <w:pPr>
        <w:pStyle w:val="Bezmezer"/>
        <w:jc w:val="both"/>
        <w:rPr>
          <w:sz w:val="24"/>
          <w:szCs w:val="24"/>
        </w:rPr>
      </w:pPr>
    </w:p>
    <w:p w:rsidR="007D7034" w:rsidRDefault="00ED23D0" w:rsidP="008326D0">
      <w:pPr>
        <w:pStyle w:val="Bezmezer"/>
        <w:jc w:val="both"/>
        <w:rPr>
          <w:sz w:val="24"/>
          <w:szCs w:val="24"/>
        </w:rPr>
      </w:pPr>
      <w:r>
        <w:rPr>
          <w:sz w:val="24"/>
          <w:szCs w:val="24"/>
        </w:rPr>
        <w:t>--------------------------------------------------------------------------------------------------------------------------</w:t>
      </w:r>
    </w:p>
    <w:p w:rsidR="005869B1" w:rsidRDefault="005869B1" w:rsidP="008326D0">
      <w:pPr>
        <w:pStyle w:val="Bezmezer"/>
        <w:jc w:val="both"/>
        <w:rPr>
          <w:b/>
        </w:rPr>
      </w:pPr>
    </w:p>
    <w:p w:rsidR="005869B1" w:rsidRDefault="005869B1" w:rsidP="008326D0">
      <w:pPr>
        <w:pStyle w:val="Bezmezer"/>
        <w:jc w:val="both"/>
        <w:rPr>
          <w:b/>
        </w:rPr>
      </w:pPr>
    </w:p>
    <w:p w:rsidR="005869B1" w:rsidRDefault="005869B1" w:rsidP="005869B1">
      <w:pPr>
        <w:jc w:val="both"/>
        <w:rPr>
          <w:rFonts w:ascii="Calibri" w:eastAsia="Calibri" w:hAnsi="Calibri"/>
          <w:i/>
          <w:lang w:eastAsia="en-US"/>
        </w:rPr>
      </w:pPr>
      <w:r>
        <w:rPr>
          <w:rFonts w:ascii="Calibri" w:eastAsia="Calibri" w:hAnsi="Calibri"/>
          <w:b/>
          <w:lang w:eastAsia="en-US"/>
        </w:rPr>
        <w:t>Dotaz č. 61</w:t>
      </w:r>
      <w:r w:rsidRPr="00381F03">
        <w:rPr>
          <w:rFonts w:ascii="Calibri" w:eastAsia="Calibri" w:hAnsi="Calibri"/>
          <w:b/>
          <w:lang w:eastAsia="en-US"/>
        </w:rPr>
        <w:t xml:space="preserve">: </w:t>
      </w:r>
      <w:r w:rsidRPr="006B1CC4">
        <w:rPr>
          <w:rFonts w:ascii="Calibri" w:eastAsia="Calibri" w:hAnsi="Calibri"/>
          <w:i/>
          <w:lang w:eastAsia="en-US"/>
        </w:rPr>
        <w:t>„</w:t>
      </w:r>
      <w:r>
        <w:rPr>
          <w:rFonts w:ascii="Calibri" w:eastAsia="Calibri" w:hAnsi="Calibri"/>
          <w:i/>
          <w:lang w:eastAsia="en-US"/>
        </w:rPr>
        <w:t xml:space="preserve">Dotaz 2) Doba plnění; </w:t>
      </w:r>
      <w:r w:rsidRPr="005869B1">
        <w:rPr>
          <w:rFonts w:ascii="Calibri" w:eastAsia="Calibri" w:hAnsi="Calibri"/>
          <w:i/>
          <w:lang w:eastAsia="en-US"/>
        </w:rPr>
        <w:t>V čl. 2.4 zadávací dokumentace je uvedeno, že předpokládané plnění veřejné zakázky bude zahájeno v prosinci 2020 za předpokladu, že bude Smlouva uzavřena nejpozději v termínu 30. 11. 2018. V příloze 1 Smlouvy je uvedeno, že Objednatel požaduje nové elektrické jednotky. V čl. 10.7 zadávací dokumentace je uvedeno, že Objednatel doporučuje dopravcům, na které se vztahuje povinnost vybrat dodavatele vozidel dle ZZVZ, aby zadávací řízení na dodavatele Vozidel zahájili současně s přípravou nabídky pro toto nabídkové řízení. Zároveň je v čl. 8.5 Smlouvy uvedeno, že Objednatel má zájem, aby Vozidla byla pořízena za využití dotace z programu „Pořízení a modernizace železničních kolejových vozidel (ev. č. 127 65). Podmínky tohoto programu stanovují, že žadatel je povinen vybrat dodavatele vozidel dle ZZVZ. To znamená, že povinnost dle čl. 10.7 zadávací dokumentace se vztahuje na všechny dopravce. V tomto ohledu upozorňujeme, že v nabídkovém řízení na dodavatele vozidel musí dopravce stanovit dostatečně dlouhou dobu na dodání vozidel, neboť v opačném případě by dodavatelé nebyli schopni splnit podmínky nabídkového řízení a výrazně by se zvyšovala pravděpodobnost napadení nabídkového řízení u ÚOHS. Minimální doba na dodání vozidel činí 24 měsíců u prvního dodaného vozidla. V případě obvyklých výrobních kapacit je dodavatel schopen dodat cca 2 vozidla měsíčně. To znamená, že nejkratší reálná dodací lhůta 11 vozidel činí 28 měsíců. V tomto ohledu se opíráme rovněž o (prozatím nepravomocné) Rozhodnutí ÚOHS č. j. ÚOHS-S0461/2016/VZ-00696/2017/512/VNv ze dne 5. ledna 2017, které přikládáme k této žádosti. V případě podpisu Smlouvy o veřejných službách k 30. 11. 2018 (a podpisu kupní smlouvy na Vozidla ve stejný den) proto není reálně možné dodat vozidla v listopadu 2020. Z toho důvodu považujeme zadavatelem stanovené lhůty za nerealizovatelné a navrhujeme odklad zahájení plnění Smlouvy o jeden rok, zvláště s ohledem na skutečnost, že všechna rizika spojená s nabídkovým řízením na dodavatele vozidel nese Dopravce.</w:t>
      </w:r>
      <w:r>
        <w:rPr>
          <w:rFonts w:ascii="Calibri" w:eastAsia="Calibri" w:hAnsi="Calibri"/>
          <w:i/>
          <w:lang w:eastAsia="en-US"/>
        </w:rPr>
        <w:t>“</w:t>
      </w:r>
    </w:p>
    <w:p w:rsidR="005869B1" w:rsidRDefault="005869B1" w:rsidP="005869B1">
      <w:pPr>
        <w:rPr>
          <w:rFonts w:ascii="Calibri" w:eastAsia="Calibri" w:hAnsi="Calibri"/>
          <w:b/>
          <w:lang w:eastAsia="en-US"/>
        </w:rPr>
      </w:pPr>
    </w:p>
    <w:p w:rsidR="000359A3" w:rsidRDefault="005869B1" w:rsidP="000359A3">
      <w:pPr>
        <w:pStyle w:val="Bezmezer"/>
        <w:jc w:val="both"/>
        <w:rPr>
          <w:sz w:val="24"/>
          <w:szCs w:val="24"/>
        </w:rPr>
      </w:pPr>
      <w:r w:rsidRPr="00EA157E">
        <w:rPr>
          <w:b/>
          <w:sz w:val="24"/>
          <w:szCs w:val="24"/>
          <w:u w:val="single"/>
        </w:rPr>
        <w:lastRenderedPageBreak/>
        <w:t xml:space="preserve">Odpověď </w:t>
      </w:r>
      <w:r w:rsidRPr="000F66F1">
        <w:rPr>
          <w:b/>
          <w:sz w:val="24"/>
          <w:szCs w:val="24"/>
          <w:u w:val="single"/>
        </w:rPr>
        <w:t>objednatele</w:t>
      </w:r>
      <w:r w:rsidRPr="00EA2F99">
        <w:rPr>
          <w:sz w:val="24"/>
          <w:szCs w:val="24"/>
        </w:rPr>
        <w:t xml:space="preserve">: </w:t>
      </w:r>
      <w:r w:rsidR="000359A3" w:rsidRPr="006729B3">
        <w:rPr>
          <w:sz w:val="24"/>
          <w:szCs w:val="24"/>
        </w:rPr>
        <w:t xml:space="preserve">Objednatel setrvává na </w:t>
      </w:r>
      <w:r w:rsidR="000359A3">
        <w:rPr>
          <w:sz w:val="24"/>
          <w:szCs w:val="24"/>
        </w:rPr>
        <w:t xml:space="preserve">závazném textu návrhu smlouvy ve vztahu k Době plnění s ohledem na skutečnost, že v evropském prostředí se dodací lhůty pro vozidla elektrické trakce dle podmínek přílohy č. 1 pohybují mezi 18 až 24 měsíci v Objednatelem požadovaném množství Vozidel. </w:t>
      </w:r>
    </w:p>
    <w:p w:rsidR="005869B1" w:rsidRDefault="005869B1" w:rsidP="005869B1">
      <w:pPr>
        <w:pStyle w:val="Bezmezer"/>
        <w:jc w:val="both"/>
        <w:rPr>
          <w:sz w:val="24"/>
          <w:szCs w:val="24"/>
        </w:rPr>
      </w:pPr>
    </w:p>
    <w:p w:rsidR="005869B1" w:rsidRDefault="005869B1" w:rsidP="008326D0">
      <w:pPr>
        <w:pStyle w:val="Bezmezer"/>
        <w:jc w:val="both"/>
        <w:rPr>
          <w:b/>
        </w:rPr>
      </w:pPr>
    </w:p>
    <w:p w:rsidR="005869B1" w:rsidRDefault="005869B1" w:rsidP="008326D0">
      <w:pPr>
        <w:pStyle w:val="Bezmezer"/>
        <w:jc w:val="both"/>
        <w:rPr>
          <w:b/>
        </w:rPr>
      </w:pPr>
      <w:r>
        <w:rPr>
          <w:b/>
        </w:rPr>
        <w:t>-------------------------------------------------------------------------------------------------------------------------------------</w:t>
      </w:r>
    </w:p>
    <w:p w:rsidR="005869B1" w:rsidRDefault="005869B1" w:rsidP="008326D0">
      <w:pPr>
        <w:pStyle w:val="Bezmezer"/>
        <w:jc w:val="both"/>
        <w:rPr>
          <w:b/>
        </w:rPr>
      </w:pPr>
    </w:p>
    <w:p w:rsidR="005869B1" w:rsidRDefault="005869B1" w:rsidP="008326D0">
      <w:pPr>
        <w:pStyle w:val="Bezmezer"/>
        <w:jc w:val="both"/>
        <w:rPr>
          <w:b/>
        </w:rPr>
      </w:pPr>
    </w:p>
    <w:p w:rsidR="005869B1" w:rsidRDefault="005869B1" w:rsidP="005869B1">
      <w:pPr>
        <w:jc w:val="both"/>
        <w:rPr>
          <w:rFonts w:ascii="Calibri" w:eastAsia="Calibri" w:hAnsi="Calibri"/>
          <w:i/>
          <w:lang w:eastAsia="en-US"/>
        </w:rPr>
      </w:pPr>
      <w:r>
        <w:rPr>
          <w:rFonts w:ascii="Calibri" w:eastAsia="Calibri" w:hAnsi="Calibri"/>
          <w:b/>
          <w:lang w:eastAsia="en-US"/>
        </w:rPr>
        <w:t>Dotaz č. 62</w:t>
      </w:r>
      <w:r w:rsidRPr="00381F03">
        <w:rPr>
          <w:rFonts w:ascii="Calibri" w:eastAsia="Calibri" w:hAnsi="Calibri"/>
          <w:b/>
          <w:lang w:eastAsia="en-US"/>
        </w:rPr>
        <w:t xml:space="preserve">: </w:t>
      </w:r>
      <w:r w:rsidRPr="006B1CC4">
        <w:rPr>
          <w:rFonts w:ascii="Calibri" w:eastAsia="Calibri" w:hAnsi="Calibri"/>
          <w:i/>
          <w:lang w:eastAsia="en-US"/>
        </w:rPr>
        <w:t>„</w:t>
      </w:r>
      <w:r>
        <w:rPr>
          <w:rFonts w:ascii="Calibri" w:eastAsia="Calibri" w:hAnsi="Calibri"/>
          <w:i/>
          <w:lang w:eastAsia="en-US"/>
        </w:rPr>
        <w:t xml:space="preserve">Dotaz 3) Terminologie; </w:t>
      </w:r>
      <w:r w:rsidRPr="005869B1">
        <w:rPr>
          <w:rFonts w:ascii="Calibri" w:eastAsia="Calibri" w:hAnsi="Calibri"/>
          <w:i/>
          <w:lang w:eastAsia="en-US"/>
        </w:rPr>
        <w:t>V čl. 3.3 Smlouvy je uveden pojem „termín pro změny Jízdních řádů“. Dotazujeme se, jaký termín je tímto pojmem míněn. Dle našeho názoru se pravděpodobně jedná o „Termín pro přijímání řádných žádostí do ročního jízdního řádu“ nebo o „Termín pro přijímání pozdních žádost do ročního jízdního řádu“ nebo o „Termín pro přijímání žádostí do změny ročního jízdního řádu“.</w:t>
      </w:r>
      <w:r>
        <w:rPr>
          <w:rFonts w:ascii="Calibri" w:eastAsia="Calibri" w:hAnsi="Calibri"/>
          <w:i/>
          <w:lang w:eastAsia="en-US"/>
        </w:rPr>
        <w:t>“</w:t>
      </w:r>
    </w:p>
    <w:p w:rsidR="005869B1" w:rsidRDefault="005869B1" w:rsidP="005869B1">
      <w:pPr>
        <w:rPr>
          <w:rFonts w:ascii="Calibri" w:eastAsia="Calibri" w:hAnsi="Calibri"/>
          <w:b/>
          <w:lang w:eastAsia="en-US"/>
        </w:rPr>
      </w:pPr>
    </w:p>
    <w:p w:rsidR="005869B1" w:rsidRPr="00CA4FE9" w:rsidRDefault="005869B1" w:rsidP="005869B1">
      <w:pPr>
        <w:pStyle w:val="Bezmezer"/>
        <w:jc w:val="both"/>
        <w:rPr>
          <w:sz w:val="24"/>
          <w:szCs w:val="24"/>
        </w:rPr>
      </w:pPr>
      <w:r w:rsidRPr="00EA157E">
        <w:rPr>
          <w:b/>
          <w:sz w:val="24"/>
          <w:szCs w:val="24"/>
          <w:u w:val="single"/>
        </w:rPr>
        <w:t xml:space="preserve">Odpověď </w:t>
      </w:r>
      <w:r w:rsidRPr="000F66F1">
        <w:rPr>
          <w:b/>
          <w:sz w:val="24"/>
          <w:szCs w:val="24"/>
          <w:u w:val="single"/>
        </w:rPr>
        <w:t>objednatele</w:t>
      </w:r>
      <w:r w:rsidRPr="00EA2F99">
        <w:rPr>
          <w:sz w:val="24"/>
          <w:szCs w:val="24"/>
        </w:rPr>
        <w:t xml:space="preserve">: </w:t>
      </w:r>
      <w:r w:rsidR="002340EC">
        <w:rPr>
          <w:sz w:val="24"/>
          <w:szCs w:val="24"/>
        </w:rPr>
        <w:t xml:space="preserve">Pojem </w:t>
      </w:r>
      <w:r w:rsidR="00CA4FE9" w:rsidRPr="00CA4FE9">
        <w:rPr>
          <w:sz w:val="24"/>
          <w:szCs w:val="24"/>
        </w:rPr>
        <w:t>„</w:t>
      </w:r>
      <w:r w:rsidR="002F684B" w:rsidRPr="00CA4FE9">
        <w:rPr>
          <w:i/>
          <w:sz w:val="24"/>
          <w:szCs w:val="24"/>
        </w:rPr>
        <w:t xml:space="preserve">Termín pro </w:t>
      </w:r>
      <w:r w:rsidR="00CA4FE9" w:rsidRPr="00CA4FE9">
        <w:rPr>
          <w:i/>
          <w:sz w:val="24"/>
          <w:szCs w:val="24"/>
        </w:rPr>
        <w:t xml:space="preserve">změny </w:t>
      </w:r>
      <w:r w:rsidR="002340EC">
        <w:rPr>
          <w:i/>
          <w:sz w:val="24"/>
          <w:szCs w:val="24"/>
        </w:rPr>
        <w:t>J</w:t>
      </w:r>
      <w:r w:rsidR="00CA4FE9" w:rsidRPr="00CA4FE9">
        <w:rPr>
          <w:i/>
          <w:sz w:val="24"/>
          <w:szCs w:val="24"/>
        </w:rPr>
        <w:t>ízdního řádu</w:t>
      </w:r>
      <w:r w:rsidR="00CA4FE9" w:rsidRPr="00CA4FE9">
        <w:rPr>
          <w:sz w:val="24"/>
          <w:szCs w:val="24"/>
        </w:rPr>
        <w:t xml:space="preserve">“ zahrnuje všechny termíny závazné pro sestavu </w:t>
      </w:r>
      <w:r w:rsidR="002340EC">
        <w:rPr>
          <w:sz w:val="24"/>
          <w:szCs w:val="24"/>
        </w:rPr>
        <w:t>J</w:t>
      </w:r>
      <w:r w:rsidR="00CA4FE9" w:rsidRPr="00CA4FE9">
        <w:rPr>
          <w:sz w:val="24"/>
          <w:szCs w:val="24"/>
        </w:rPr>
        <w:t xml:space="preserve">ízdního řádu a provádění změn v průběhu jeho platnosti, tj. zahrnuje pojmy </w:t>
      </w:r>
      <w:r w:rsidR="00CA4FE9" w:rsidRPr="00CA4FE9">
        <w:rPr>
          <w:i/>
          <w:sz w:val="24"/>
          <w:szCs w:val="24"/>
        </w:rPr>
        <w:t xml:space="preserve">„Termín pro přijímání řádných žádostí do ročního jízdního řádu“, „Termín pro přijímání pozdních žádost do ročního jízdního řádu“ </w:t>
      </w:r>
      <w:r w:rsidR="002340EC">
        <w:rPr>
          <w:i/>
          <w:sz w:val="24"/>
          <w:szCs w:val="24"/>
        </w:rPr>
        <w:t>i</w:t>
      </w:r>
      <w:r w:rsidR="00CA4FE9" w:rsidRPr="00CA4FE9">
        <w:rPr>
          <w:i/>
          <w:sz w:val="24"/>
          <w:szCs w:val="24"/>
        </w:rPr>
        <w:t xml:space="preserve"> „Termín pro přijímání žádostí do změny ročního jízdního řádu“. </w:t>
      </w:r>
    </w:p>
    <w:p w:rsidR="005869B1" w:rsidRPr="00CA4FE9" w:rsidRDefault="005869B1" w:rsidP="008326D0">
      <w:pPr>
        <w:pStyle w:val="Bezmezer"/>
        <w:jc w:val="both"/>
        <w:rPr>
          <w:b/>
          <w:sz w:val="24"/>
          <w:szCs w:val="24"/>
        </w:rPr>
      </w:pPr>
    </w:p>
    <w:p w:rsidR="008326D0" w:rsidRDefault="008326D0" w:rsidP="00D57A89">
      <w:pPr>
        <w:jc w:val="both"/>
        <w:rPr>
          <w:rFonts w:ascii="Calibri" w:hAnsi="Calibri" w:cs="Calibri"/>
        </w:rPr>
      </w:pPr>
    </w:p>
    <w:p w:rsidR="00CB1943" w:rsidRDefault="00CB1943" w:rsidP="00D57A89">
      <w:pPr>
        <w:jc w:val="both"/>
        <w:rPr>
          <w:rFonts w:ascii="Calibri" w:hAnsi="Calibri" w:cs="Calibri"/>
        </w:rPr>
      </w:pPr>
    </w:p>
    <w:p w:rsidR="00CB1943" w:rsidRPr="00EA157E" w:rsidRDefault="00CB1943" w:rsidP="00D57A89">
      <w:pPr>
        <w:jc w:val="both"/>
        <w:rPr>
          <w:rFonts w:ascii="Calibri" w:hAnsi="Calibri" w:cs="Calibri"/>
        </w:rPr>
      </w:pPr>
    </w:p>
    <w:p w:rsidR="000E510C" w:rsidRDefault="000E510C" w:rsidP="00D57A89">
      <w:pPr>
        <w:jc w:val="both"/>
        <w:rPr>
          <w:rFonts w:ascii="Calibri" w:hAnsi="Calibri" w:cs="Calibri"/>
        </w:rPr>
      </w:pPr>
      <w:r w:rsidRPr="00EA157E">
        <w:rPr>
          <w:rFonts w:ascii="Calibri" w:hAnsi="Calibri" w:cs="Calibri"/>
        </w:rPr>
        <w:t>V</w:t>
      </w:r>
      <w:r w:rsidR="002A437A" w:rsidRPr="00EA157E">
        <w:rPr>
          <w:rFonts w:ascii="Calibri" w:hAnsi="Calibri" w:cs="Calibri"/>
        </w:rPr>
        <w:t> </w:t>
      </w:r>
      <w:r w:rsidR="00320249" w:rsidRPr="00EA157E">
        <w:rPr>
          <w:rFonts w:ascii="Calibri" w:hAnsi="Calibri" w:cs="Calibri"/>
        </w:rPr>
        <w:t>Plzni</w:t>
      </w:r>
      <w:r w:rsidR="009C6260" w:rsidRPr="00EA157E">
        <w:rPr>
          <w:rFonts w:ascii="Calibri" w:hAnsi="Calibri" w:cs="Calibri"/>
        </w:rPr>
        <w:t xml:space="preserve"> dne</w:t>
      </w:r>
      <w:r w:rsidR="00B47697" w:rsidRPr="00EA157E">
        <w:rPr>
          <w:rFonts w:ascii="Calibri" w:hAnsi="Calibri" w:cs="Calibri"/>
        </w:rPr>
        <w:t xml:space="preserve"> </w:t>
      </w:r>
      <w:r w:rsidR="0020246E">
        <w:rPr>
          <w:rFonts w:ascii="Calibri" w:hAnsi="Calibri" w:cs="Calibri"/>
        </w:rPr>
        <w:t>30</w:t>
      </w:r>
      <w:r w:rsidR="00CB1943">
        <w:rPr>
          <w:rFonts w:ascii="Calibri" w:hAnsi="Calibri" w:cs="Calibri"/>
        </w:rPr>
        <w:t>. 7</w:t>
      </w:r>
      <w:r w:rsidR="002C4F6D" w:rsidRPr="00EA157E">
        <w:rPr>
          <w:rFonts w:ascii="Calibri" w:hAnsi="Calibri" w:cs="Calibri"/>
        </w:rPr>
        <w:t xml:space="preserve">. </w:t>
      </w:r>
      <w:r w:rsidR="00E434DD" w:rsidRPr="00EA157E">
        <w:rPr>
          <w:rFonts w:ascii="Calibri" w:hAnsi="Calibri" w:cs="Calibri"/>
        </w:rPr>
        <w:t>201</w:t>
      </w:r>
      <w:r w:rsidR="00E42CFF">
        <w:rPr>
          <w:rFonts w:ascii="Calibri" w:hAnsi="Calibri" w:cs="Calibri"/>
        </w:rPr>
        <w:t>8</w:t>
      </w:r>
    </w:p>
    <w:p w:rsidR="004D21E1" w:rsidRDefault="004D21E1" w:rsidP="00D57A89">
      <w:pPr>
        <w:jc w:val="both"/>
        <w:rPr>
          <w:rFonts w:ascii="Calibri" w:hAnsi="Calibri" w:cs="Calibri"/>
        </w:rPr>
      </w:pPr>
    </w:p>
    <w:p w:rsidR="003B2676" w:rsidRDefault="003B2676" w:rsidP="00D57A89">
      <w:pPr>
        <w:jc w:val="both"/>
        <w:rPr>
          <w:rFonts w:ascii="Calibri" w:hAnsi="Calibri" w:cs="Calibri"/>
        </w:rPr>
      </w:pPr>
    </w:p>
    <w:p w:rsidR="00BB2477" w:rsidRPr="001355A6" w:rsidRDefault="00BB2477" w:rsidP="000E510C">
      <w:pPr>
        <w:tabs>
          <w:tab w:val="left" w:pos="1365"/>
        </w:tabs>
        <w:jc w:val="both"/>
        <w:rPr>
          <w:rFonts w:ascii="Calibri" w:hAnsi="Calibri" w:cs="Calibri"/>
        </w:rPr>
      </w:pPr>
    </w:p>
    <w:p w:rsidR="006F0791" w:rsidRPr="00320249" w:rsidRDefault="0068762C" w:rsidP="006F0791">
      <w:pPr>
        <w:jc w:val="center"/>
        <w:rPr>
          <w:rFonts w:ascii="Calibri" w:hAnsi="Calibri" w:cs="Calibri"/>
          <w:b/>
        </w:rPr>
      </w:pPr>
      <w:r w:rsidRPr="006F0791">
        <w:rPr>
          <w:rFonts w:ascii="Calibri" w:hAnsi="Calibri" w:cs="Calibri"/>
          <w:sz w:val="22"/>
          <w:szCs w:val="22"/>
        </w:rPr>
        <w:t xml:space="preserve">      </w:t>
      </w:r>
      <w:r w:rsidR="00E56188" w:rsidRPr="006F0791">
        <w:rPr>
          <w:rFonts w:ascii="Calibri" w:hAnsi="Calibri" w:cs="Calibri"/>
          <w:sz w:val="22"/>
          <w:szCs w:val="22"/>
        </w:rPr>
        <w:t xml:space="preserve"> </w:t>
      </w:r>
      <w:r w:rsidR="006F0791" w:rsidRPr="006F0791">
        <w:rPr>
          <w:rFonts w:ascii="Calibri" w:hAnsi="Calibri" w:cs="Calibri"/>
          <w:sz w:val="22"/>
          <w:szCs w:val="22"/>
        </w:rPr>
        <w:t xml:space="preserve">                                    </w:t>
      </w:r>
      <w:r w:rsidR="00E709BA">
        <w:rPr>
          <w:rFonts w:ascii="Calibri" w:hAnsi="Calibri" w:cs="Calibri"/>
          <w:sz w:val="22"/>
          <w:szCs w:val="22"/>
        </w:rPr>
        <w:t xml:space="preserve">                              </w:t>
      </w:r>
      <w:r w:rsidR="006F0791">
        <w:rPr>
          <w:rFonts w:ascii="Calibri" w:hAnsi="Calibri" w:cs="Calibri"/>
          <w:sz w:val="22"/>
          <w:szCs w:val="22"/>
        </w:rPr>
        <w:t xml:space="preserve"> </w:t>
      </w:r>
      <w:r w:rsidR="00320249" w:rsidRPr="00320249">
        <w:rPr>
          <w:rFonts w:ascii="Calibri" w:hAnsi="Calibri" w:cs="Calibri"/>
          <w:b/>
        </w:rPr>
        <w:t>Mgr. Richard Volín</w:t>
      </w:r>
    </w:p>
    <w:p w:rsidR="002C4F6D" w:rsidRDefault="009C6260" w:rsidP="00320249">
      <w:pPr>
        <w:jc w:val="center"/>
        <w:rPr>
          <w:rFonts w:ascii="Calibri" w:hAnsi="Calibri" w:cs="Calibri"/>
          <w:sz w:val="20"/>
          <w:szCs w:val="20"/>
        </w:rPr>
      </w:pPr>
      <w:r>
        <w:rPr>
          <w:rFonts w:ascii="Calibri" w:hAnsi="Calibri" w:cs="Calibri"/>
          <w:sz w:val="22"/>
          <w:szCs w:val="22"/>
        </w:rPr>
        <w:t xml:space="preserve">                                        </w:t>
      </w:r>
      <w:r w:rsidR="00320249">
        <w:rPr>
          <w:rFonts w:ascii="Calibri" w:hAnsi="Calibri" w:cs="Calibri"/>
          <w:sz w:val="20"/>
          <w:szCs w:val="20"/>
        </w:rPr>
        <w:t xml:space="preserve"> </w:t>
      </w:r>
      <w:r w:rsidR="002C4F6D">
        <w:rPr>
          <w:rFonts w:ascii="Calibri" w:hAnsi="Calibri" w:cs="Calibri"/>
          <w:sz w:val="20"/>
          <w:szCs w:val="20"/>
        </w:rPr>
        <w:t xml:space="preserve">                                     </w:t>
      </w:r>
      <w:r w:rsidR="002C4F6D" w:rsidRPr="002C4F6D">
        <w:rPr>
          <w:rFonts w:ascii="Calibri" w:hAnsi="Calibri" w:cs="Calibri"/>
          <w:sz w:val="22"/>
          <w:szCs w:val="20"/>
        </w:rPr>
        <w:t>administrátor</w:t>
      </w:r>
      <w:r w:rsidR="00320249" w:rsidRPr="002C4F6D">
        <w:rPr>
          <w:rFonts w:ascii="Calibri" w:hAnsi="Calibri" w:cs="Calibri"/>
          <w:sz w:val="22"/>
          <w:szCs w:val="20"/>
        </w:rPr>
        <w:t xml:space="preserve">  </w:t>
      </w:r>
      <w:r w:rsidR="00320249">
        <w:rPr>
          <w:rFonts w:ascii="Calibri" w:hAnsi="Calibri" w:cs="Calibri"/>
          <w:sz w:val="20"/>
          <w:szCs w:val="20"/>
        </w:rPr>
        <w:t xml:space="preserve">                                    </w:t>
      </w:r>
    </w:p>
    <w:p w:rsidR="00320249" w:rsidRPr="00E434DD" w:rsidRDefault="00320249" w:rsidP="00320249">
      <w:pPr>
        <w:jc w:val="center"/>
        <w:rPr>
          <w:rFonts w:ascii="Calibri" w:hAnsi="Calibri" w:cs="Calibri"/>
          <w:sz w:val="22"/>
          <w:szCs w:val="22"/>
        </w:rPr>
      </w:pPr>
      <w:r>
        <w:rPr>
          <w:rFonts w:ascii="Calibri" w:hAnsi="Calibri" w:cs="Calibri"/>
          <w:sz w:val="20"/>
          <w:szCs w:val="20"/>
        </w:rPr>
        <w:t xml:space="preserve">  </w:t>
      </w:r>
      <w:r w:rsidR="002C4F6D">
        <w:rPr>
          <w:rFonts w:ascii="Calibri" w:hAnsi="Calibri" w:cs="Calibri"/>
          <w:sz w:val="20"/>
          <w:szCs w:val="20"/>
        </w:rPr>
        <w:t xml:space="preserve">                                                                                 </w:t>
      </w:r>
      <w:r>
        <w:rPr>
          <w:rFonts w:ascii="Calibri" w:hAnsi="Calibri" w:cs="Calibri"/>
          <w:sz w:val="20"/>
          <w:szCs w:val="20"/>
        </w:rPr>
        <w:t xml:space="preserve">  Centrální nákup, příspěvková organizace</w:t>
      </w:r>
      <w:r w:rsidRPr="00E434DD">
        <w:rPr>
          <w:rFonts w:ascii="Calibri" w:hAnsi="Calibri" w:cs="Calibri"/>
          <w:sz w:val="22"/>
          <w:szCs w:val="22"/>
        </w:rPr>
        <w:t xml:space="preserve">             </w:t>
      </w:r>
    </w:p>
    <w:p w:rsidR="00320249" w:rsidRDefault="009C6260" w:rsidP="006F0791">
      <w:pPr>
        <w:jc w:val="center"/>
        <w:rPr>
          <w:rFonts w:ascii="Calibri" w:hAnsi="Calibri" w:cs="Calibri"/>
          <w:sz w:val="22"/>
          <w:szCs w:val="22"/>
        </w:rPr>
      </w:pPr>
      <w:r>
        <w:rPr>
          <w:rFonts w:ascii="Calibri" w:hAnsi="Calibri" w:cs="Calibri"/>
          <w:sz w:val="22"/>
          <w:szCs w:val="22"/>
        </w:rPr>
        <w:t xml:space="preserve">            </w:t>
      </w:r>
      <w:r w:rsidR="00E434DD">
        <w:rPr>
          <w:rFonts w:ascii="Calibri" w:hAnsi="Calibri" w:cs="Calibri"/>
          <w:sz w:val="22"/>
          <w:szCs w:val="22"/>
        </w:rPr>
        <w:t xml:space="preserve">                          </w:t>
      </w:r>
    </w:p>
    <w:p w:rsidR="0068762C" w:rsidRPr="003D0073" w:rsidRDefault="00320249" w:rsidP="00E42CFF">
      <w:pPr>
        <w:jc w:val="center"/>
        <w:rPr>
          <w:rFonts w:ascii="Calibri" w:hAnsi="Calibri" w:cs="Calibri"/>
          <w:sz w:val="22"/>
          <w:szCs w:val="22"/>
        </w:rPr>
      </w:pPr>
      <w:r>
        <w:rPr>
          <w:rFonts w:ascii="Calibri" w:hAnsi="Calibri" w:cs="Calibri"/>
          <w:sz w:val="22"/>
          <w:szCs w:val="22"/>
        </w:rPr>
        <w:t xml:space="preserve">                                           </w:t>
      </w:r>
      <w:r w:rsidR="00B47697">
        <w:rPr>
          <w:rFonts w:ascii="Calibri" w:hAnsi="Calibri" w:cs="Calibri"/>
          <w:sz w:val="22"/>
          <w:szCs w:val="22"/>
        </w:rPr>
        <w:t xml:space="preserve">                        </w:t>
      </w:r>
      <w:r w:rsidR="00E42CFF">
        <w:rPr>
          <w:rFonts w:ascii="Calibri" w:hAnsi="Calibri" w:cs="Calibri"/>
          <w:sz w:val="22"/>
          <w:szCs w:val="22"/>
        </w:rPr>
        <w:t xml:space="preserve">     </w:t>
      </w:r>
      <w:r w:rsidR="00EA157E">
        <w:rPr>
          <w:rFonts w:ascii="Calibri" w:hAnsi="Calibri" w:cs="Calibri"/>
          <w:sz w:val="22"/>
          <w:szCs w:val="22"/>
        </w:rPr>
        <w:t xml:space="preserve">v zastoupení </w:t>
      </w:r>
      <w:r w:rsidR="000F66F1">
        <w:rPr>
          <w:rFonts w:ascii="Calibri" w:hAnsi="Calibri" w:cs="Calibri"/>
          <w:sz w:val="22"/>
          <w:szCs w:val="22"/>
        </w:rPr>
        <w:t>objednatele</w:t>
      </w:r>
    </w:p>
    <w:sectPr w:rsidR="0068762C" w:rsidRPr="003D0073" w:rsidSect="00A40137">
      <w:footerReference w:type="default" r:id="rId8"/>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93" w:rsidRDefault="004F0793" w:rsidP="00C153A9">
      <w:r>
        <w:separator/>
      </w:r>
    </w:p>
  </w:endnote>
  <w:endnote w:type="continuationSeparator" w:id="0">
    <w:p w:rsidR="004F0793" w:rsidRDefault="004F0793" w:rsidP="00C1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10646"/>
      <w:docPartObj>
        <w:docPartGallery w:val="Page Numbers (Bottom of Page)"/>
        <w:docPartUnique/>
      </w:docPartObj>
    </w:sdtPr>
    <w:sdtEndPr/>
    <w:sdtContent>
      <w:p w:rsidR="00CB1943" w:rsidRDefault="00CB1943">
        <w:pPr>
          <w:pStyle w:val="Zpat"/>
          <w:jc w:val="center"/>
        </w:pPr>
        <w:r>
          <w:fldChar w:fldCharType="begin"/>
        </w:r>
        <w:r>
          <w:instrText>PAGE   \* MERGEFORMAT</w:instrText>
        </w:r>
        <w:r>
          <w:fldChar w:fldCharType="separate"/>
        </w:r>
        <w:r w:rsidR="0020246E">
          <w:rPr>
            <w:noProof/>
          </w:rPr>
          <w:t>3</w:t>
        </w:r>
        <w:r>
          <w:fldChar w:fldCharType="end"/>
        </w:r>
      </w:p>
    </w:sdtContent>
  </w:sdt>
  <w:p w:rsidR="00CB1943" w:rsidRPr="00804044" w:rsidRDefault="00CB1943" w:rsidP="0080404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93" w:rsidRDefault="004F0793" w:rsidP="00C153A9">
      <w:r>
        <w:separator/>
      </w:r>
    </w:p>
  </w:footnote>
  <w:footnote w:type="continuationSeparator" w:id="0">
    <w:p w:rsidR="004F0793" w:rsidRDefault="004F0793" w:rsidP="00C1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2F96"/>
    <w:multiLevelType w:val="hybridMultilevel"/>
    <w:tmpl w:val="C0AE8CE4"/>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752A29"/>
    <w:multiLevelType w:val="hybridMultilevel"/>
    <w:tmpl w:val="2966AE08"/>
    <w:lvl w:ilvl="0" w:tplc="733C5F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C52273"/>
    <w:multiLevelType w:val="hybridMultilevel"/>
    <w:tmpl w:val="592EC054"/>
    <w:lvl w:ilvl="0" w:tplc="1B0A967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F2E28"/>
    <w:multiLevelType w:val="hybridMultilevel"/>
    <w:tmpl w:val="5298E434"/>
    <w:lvl w:ilvl="0" w:tplc="81C83D9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81003F"/>
    <w:multiLevelType w:val="hybridMultilevel"/>
    <w:tmpl w:val="8C52A1EC"/>
    <w:lvl w:ilvl="0" w:tplc="65B8C26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F76538"/>
    <w:multiLevelType w:val="hybridMultilevel"/>
    <w:tmpl w:val="92EE5994"/>
    <w:lvl w:ilvl="0" w:tplc="D3DADFDA">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457A70"/>
    <w:multiLevelType w:val="hybridMultilevel"/>
    <w:tmpl w:val="B824B864"/>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125C1F"/>
    <w:multiLevelType w:val="hybridMultilevel"/>
    <w:tmpl w:val="4F9EE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D92DA9"/>
    <w:multiLevelType w:val="hybridMultilevel"/>
    <w:tmpl w:val="9326ACBA"/>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AD20C4"/>
    <w:multiLevelType w:val="hybridMultilevel"/>
    <w:tmpl w:val="BDE822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40675B"/>
    <w:multiLevelType w:val="hybridMultilevel"/>
    <w:tmpl w:val="3B246178"/>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153472"/>
    <w:multiLevelType w:val="hybridMultilevel"/>
    <w:tmpl w:val="54E653B4"/>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2A5205"/>
    <w:multiLevelType w:val="hybridMultilevel"/>
    <w:tmpl w:val="592EC054"/>
    <w:lvl w:ilvl="0" w:tplc="1B0A967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D929CF"/>
    <w:multiLevelType w:val="hybridMultilevel"/>
    <w:tmpl w:val="2580E96E"/>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061F74"/>
    <w:multiLevelType w:val="hybridMultilevel"/>
    <w:tmpl w:val="E4505E74"/>
    <w:lvl w:ilvl="0" w:tplc="A9A48A32">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074CA8"/>
    <w:multiLevelType w:val="hybridMultilevel"/>
    <w:tmpl w:val="5CC46846"/>
    <w:lvl w:ilvl="0" w:tplc="B2C00398">
      <w:start w:val="1"/>
      <w:numFmt w:val="upp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4943F8"/>
    <w:multiLevelType w:val="hybridMultilevel"/>
    <w:tmpl w:val="0EE824C2"/>
    <w:lvl w:ilvl="0" w:tplc="74A8C654">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6B71AF"/>
    <w:multiLevelType w:val="hybridMultilevel"/>
    <w:tmpl w:val="60EEF000"/>
    <w:lvl w:ilvl="0" w:tplc="40BCCF6E">
      <w:start w:val="1"/>
      <w:numFmt w:val="decimal"/>
      <w:lvlText w:val="%1."/>
      <w:lvlJc w:val="left"/>
      <w:pPr>
        <w:ind w:left="720" w:hanging="360"/>
      </w:pPr>
      <w:rPr>
        <w:rFonts w:ascii="Calibri" w:eastAsia="Times New Roman" w:hAnsi="Calibri" w:cs="Calibri"/>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2"/>
  </w:num>
  <w:num w:numId="5">
    <w:abstractNumId w:val="2"/>
  </w:num>
  <w:num w:numId="6">
    <w:abstractNumId w:val="17"/>
  </w:num>
  <w:num w:numId="7">
    <w:abstractNumId w:val="14"/>
  </w:num>
  <w:num w:numId="8">
    <w:abstractNumId w:val="4"/>
  </w:num>
  <w:num w:numId="9">
    <w:abstractNumId w:val="3"/>
  </w:num>
  <w:num w:numId="10">
    <w:abstractNumId w:val="1"/>
  </w:num>
  <w:num w:numId="11">
    <w:abstractNumId w:val="9"/>
  </w:num>
  <w:num w:numId="12">
    <w:abstractNumId w:val="6"/>
  </w:num>
  <w:num w:numId="13">
    <w:abstractNumId w:val="13"/>
  </w:num>
  <w:num w:numId="14">
    <w:abstractNumId w:val="11"/>
  </w:num>
  <w:num w:numId="15">
    <w:abstractNumId w:val="15"/>
  </w:num>
  <w:num w:numId="16">
    <w:abstractNumId w:val="10"/>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50"/>
    <w:rsid w:val="000145FC"/>
    <w:rsid w:val="000359A3"/>
    <w:rsid w:val="00041356"/>
    <w:rsid w:val="0004289E"/>
    <w:rsid w:val="00051AE8"/>
    <w:rsid w:val="0005325D"/>
    <w:rsid w:val="0007105D"/>
    <w:rsid w:val="00083B91"/>
    <w:rsid w:val="000916C4"/>
    <w:rsid w:val="0009401D"/>
    <w:rsid w:val="00096F66"/>
    <w:rsid w:val="00097685"/>
    <w:rsid w:val="000B2CBE"/>
    <w:rsid w:val="000C4905"/>
    <w:rsid w:val="000C5634"/>
    <w:rsid w:val="000C76E2"/>
    <w:rsid w:val="000D06CF"/>
    <w:rsid w:val="000D30DC"/>
    <w:rsid w:val="000D4DD5"/>
    <w:rsid w:val="000E0DD4"/>
    <w:rsid w:val="000E510C"/>
    <w:rsid w:val="000F66F1"/>
    <w:rsid w:val="000F7B86"/>
    <w:rsid w:val="0010145F"/>
    <w:rsid w:val="00102D61"/>
    <w:rsid w:val="00113D00"/>
    <w:rsid w:val="0011403F"/>
    <w:rsid w:val="00116A27"/>
    <w:rsid w:val="00130FC2"/>
    <w:rsid w:val="001355A6"/>
    <w:rsid w:val="00140385"/>
    <w:rsid w:val="00147DCF"/>
    <w:rsid w:val="00150248"/>
    <w:rsid w:val="0015031D"/>
    <w:rsid w:val="00150B56"/>
    <w:rsid w:val="00162E76"/>
    <w:rsid w:val="00167DDD"/>
    <w:rsid w:val="001708C5"/>
    <w:rsid w:val="0017779B"/>
    <w:rsid w:val="00192A3E"/>
    <w:rsid w:val="00192F88"/>
    <w:rsid w:val="001B1FB6"/>
    <w:rsid w:val="001B3082"/>
    <w:rsid w:val="001C09FE"/>
    <w:rsid w:val="001C70B4"/>
    <w:rsid w:val="001D765E"/>
    <w:rsid w:val="001E2B02"/>
    <w:rsid w:val="001E3CC4"/>
    <w:rsid w:val="0020246E"/>
    <w:rsid w:val="002101BA"/>
    <w:rsid w:val="00211EDC"/>
    <w:rsid w:val="00211EED"/>
    <w:rsid w:val="00212617"/>
    <w:rsid w:val="00212C7D"/>
    <w:rsid w:val="00213A3D"/>
    <w:rsid w:val="00227B45"/>
    <w:rsid w:val="00232229"/>
    <w:rsid w:val="00232448"/>
    <w:rsid w:val="002340EC"/>
    <w:rsid w:val="00235371"/>
    <w:rsid w:val="00245ECC"/>
    <w:rsid w:val="00263FA3"/>
    <w:rsid w:val="00264E42"/>
    <w:rsid w:val="002658FF"/>
    <w:rsid w:val="00270D0C"/>
    <w:rsid w:val="00275EF7"/>
    <w:rsid w:val="0028099A"/>
    <w:rsid w:val="00291B9A"/>
    <w:rsid w:val="00296701"/>
    <w:rsid w:val="00297FC3"/>
    <w:rsid w:val="002A1E98"/>
    <w:rsid w:val="002A437A"/>
    <w:rsid w:val="002A4C97"/>
    <w:rsid w:val="002A7A95"/>
    <w:rsid w:val="002B132E"/>
    <w:rsid w:val="002B6D08"/>
    <w:rsid w:val="002C0CE7"/>
    <w:rsid w:val="002C4F6D"/>
    <w:rsid w:val="002D0227"/>
    <w:rsid w:val="002D2249"/>
    <w:rsid w:val="002D35A7"/>
    <w:rsid w:val="002D35AC"/>
    <w:rsid w:val="002D6DBD"/>
    <w:rsid w:val="002E1804"/>
    <w:rsid w:val="002F684B"/>
    <w:rsid w:val="00313938"/>
    <w:rsid w:val="00320249"/>
    <w:rsid w:val="00320BBF"/>
    <w:rsid w:val="00323065"/>
    <w:rsid w:val="0032504C"/>
    <w:rsid w:val="00330920"/>
    <w:rsid w:val="0033406B"/>
    <w:rsid w:val="0033460B"/>
    <w:rsid w:val="00344253"/>
    <w:rsid w:val="003471A0"/>
    <w:rsid w:val="00361DEA"/>
    <w:rsid w:val="003639A3"/>
    <w:rsid w:val="00366C41"/>
    <w:rsid w:val="003704F8"/>
    <w:rsid w:val="00376B18"/>
    <w:rsid w:val="00381F03"/>
    <w:rsid w:val="003871C8"/>
    <w:rsid w:val="00387385"/>
    <w:rsid w:val="00393382"/>
    <w:rsid w:val="003A0AB1"/>
    <w:rsid w:val="003A1F6A"/>
    <w:rsid w:val="003A55B7"/>
    <w:rsid w:val="003B2442"/>
    <w:rsid w:val="003B2676"/>
    <w:rsid w:val="003B3A02"/>
    <w:rsid w:val="003B5262"/>
    <w:rsid w:val="003D0073"/>
    <w:rsid w:val="003D1250"/>
    <w:rsid w:val="003D4EFA"/>
    <w:rsid w:val="00400362"/>
    <w:rsid w:val="00416598"/>
    <w:rsid w:val="00427578"/>
    <w:rsid w:val="004315C2"/>
    <w:rsid w:val="00440725"/>
    <w:rsid w:val="004422A3"/>
    <w:rsid w:val="0044581C"/>
    <w:rsid w:val="00445EBE"/>
    <w:rsid w:val="00451E6F"/>
    <w:rsid w:val="00470F05"/>
    <w:rsid w:val="00475B0D"/>
    <w:rsid w:val="00476A98"/>
    <w:rsid w:val="0047773E"/>
    <w:rsid w:val="0048585E"/>
    <w:rsid w:val="004950E2"/>
    <w:rsid w:val="004A18DA"/>
    <w:rsid w:val="004A4D87"/>
    <w:rsid w:val="004C468D"/>
    <w:rsid w:val="004D21E1"/>
    <w:rsid w:val="004F0793"/>
    <w:rsid w:val="004F0AD1"/>
    <w:rsid w:val="004F3534"/>
    <w:rsid w:val="004F6BF5"/>
    <w:rsid w:val="004F7709"/>
    <w:rsid w:val="00500985"/>
    <w:rsid w:val="00502473"/>
    <w:rsid w:val="00503A6B"/>
    <w:rsid w:val="005163B7"/>
    <w:rsid w:val="00522974"/>
    <w:rsid w:val="00527DE5"/>
    <w:rsid w:val="00532B13"/>
    <w:rsid w:val="0053412D"/>
    <w:rsid w:val="005429C0"/>
    <w:rsid w:val="00553A64"/>
    <w:rsid w:val="00560284"/>
    <w:rsid w:val="005649BA"/>
    <w:rsid w:val="00575648"/>
    <w:rsid w:val="00576825"/>
    <w:rsid w:val="005869B1"/>
    <w:rsid w:val="00592A3E"/>
    <w:rsid w:val="00592F33"/>
    <w:rsid w:val="0059582D"/>
    <w:rsid w:val="005A733B"/>
    <w:rsid w:val="005B2F31"/>
    <w:rsid w:val="005B76F9"/>
    <w:rsid w:val="005C630B"/>
    <w:rsid w:val="0060005F"/>
    <w:rsid w:val="00603C87"/>
    <w:rsid w:val="0060483F"/>
    <w:rsid w:val="00606150"/>
    <w:rsid w:val="00606C8A"/>
    <w:rsid w:val="00614C17"/>
    <w:rsid w:val="00615800"/>
    <w:rsid w:val="00616CEB"/>
    <w:rsid w:val="006234B7"/>
    <w:rsid w:val="00634EC9"/>
    <w:rsid w:val="006419E8"/>
    <w:rsid w:val="006473AF"/>
    <w:rsid w:val="00655721"/>
    <w:rsid w:val="00675902"/>
    <w:rsid w:val="0068482F"/>
    <w:rsid w:val="0068762C"/>
    <w:rsid w:val="0069631E"/>
    <w:rsid w:val="006975C2"/>
    <w:rsid w:val="00697C4A"/>
    <w:rsid w:val="006A2791"/>
    <w:rsid w:val="006A6BF8"/>
    <w:rsid w:val="006B1CC4"/>
    <w:rsid w:val="006B45D9"/>
    <w:rsid w:val="006C05DA"/>
    <w:rsid w:val="006C5E3D"/>
    <w:rsid w:val="006E192E"/>
    <w:rsid w:val="006E5496"/>
    <w:rsid w:val="006F0791"/>
    <w:rsid w:val="007069A7"/>
    <w:rsid w:val="00723B0F"/>
    <w:rsid w:val="00743534"/>
    <w:rsid w:val="00747E61"/>
    <w:rsid w:val="00757568"/>
    <w:rsid w:val="00767BE3"/>
    <w:rsid w:val="00767D55"/>
    <w:rsid w:val="0077198D"/>
    <w:rsid w:val="007728F6"/>
    <w:rsid w:val="00782457"/>
    <w:rsid w:val="007908CA"/>
    <w:rsid w:val="007B12B8"/>
    <w:rsid w:val="007B7C35"/>
    <w:rsid w:val="007C541B"/>
    <w:rsid w:val="007C726A"/>
    <w:rsid w:val="007D7034"/>
    <w:rsid w:val="007F1139"/>
    <w:rsid w:val="00803AE0"/>
    <w:rsid w:val="00804044"/>
    <w:rsid w:val="008121EB"/>
    <w:rsid w:val="00812380"/>
    <w:rsid w:val="00815F69"/>
    <w:rsid w:val="00823A69"/>
    <w:rsid w:val="00823AB6"/>
    <w:rsid w:val="008240DF"/>
    <w:rsid w:val="008326D0"/>
    <w:rsid w:val="008535BD"/>
    <w:rsid w:val="00863150"/>
    <w:rsid w:val="00870D7A"/>
    <w:rsid w:val="00871329"/>
    <w:rsid w:val="0087636A"/>
    <w:rsid w:val="008911B5"/>
    <w:rsid w:val="008972A3"/>
    <w:rsid w:val="008A1E60"/>
    <w:rsid w:val="008B1B1F"/>
    <w:rsid w:val="008D0ADA"/>
    <w:rsid w:val="008D1409"/>
    <w:rsid w:val="008D5696"/>
    <w:rsid w:val="008D63A4"/>
    <w:rsid w:val="008E1F65"/>
    <w:rsid w:val="008E5C61"/>
    <w:rsid w:val="008F1053"/>
    <w:rsid w:val="008F3066"/>
    <w:rsid w:val="00916D82"/>
    <w:rsid w:val="00930A47"/>
    <w:rsid w:val="00937702"/>
    <w:rsid w:val="0094035D"/>
    <w:rsid w:val="00952BC3"/>
    <w:rsid w:val="00952D50"/>
    <w:rsid w:val="00956195"/>
    <w:rsid w:val="00964FF2"/>
    <w:rsid w:val="00965503"/>
    <w:rsid w:val="00981A9A"/>
    <w:rsid w:val="0098276A"/>
    <w:rsid w:val="00985FE9"/>
    <w:rsid w:val="00986894"/>
    <w:rsid w:val="009C1A7B"/>
    <w:rsid w:val="009C328F"/>
    <w:rsid w:val="009C6260"/>
    <w:rsid w:val="009D3F6E"/>
    <w:rsid w:val="009E061A"/>
    <w:rsid w:val="009F076C"/>
    <w:rsid w:val="00A14754"/>
    <w:rsid w:val="00A17F94"/>
    <w:rsid w:val="00A21570"/>
    <w:rsid w:val="00A25F3B"/>
    <w:rsid w:val="00A3636A"/>
    <w:rsid w:val="00A40137"/>
    <w:rsid w:val="00A51397"/>
    <w:rsid w:val="00A6093D"/>
    <w:rsid w:val="00A61491"/>
    <w:rsid w:val="00A8163F"/>
    <w:rsid w:val="00A81EB6"/>
    <w:rsid w:val="00A9228E"/>
    <w:rsid w:val="00A94A3D"/>
    <w:rsid w:val="00AC1BD4"/>
    <w:rsid w:val="00AC1F04"/>
    <w:rsid w:val="00AC256B"/>
    <w:rsid w:val="00AE0409"/>
    <w:rsid w:val="00AE2E48"/>
    <w:rsid w:val="00AF556C"/>
    <w:rsid w:val="00B02E16"/>
    <w:rsid w:val="00B07D61"/>
    <w:rsid w:val="00B132BF"/>
    <w:rsid w:val="00B14315"/>
    <w:rsid w:val="00B26CD2"/>
    <w:rsid w:val="00B300A4"/>
    <w:rsid w:val="00B45BA6"/>
    <w:rsid w:val="00B47697"/>
    <w:rsid w:val="00B54A0A"/>
    <w:rsid w:val="00B73C76"/>
    <w:rsid w:val="00B8419B"/>
    <w:rsid w:val="00B850B7"/>
    <w:rsid w:val="00B85B53"/>
    <w:rsid w:val="00B8618A"/>
    <w:rsid w:val="00B9772E"/>
    <w:rsid w:val="00BA614E"/>
    <w:rsid w:val="00BB2477"/>
    <w:rsid w:val="00BC1FD7"/>
    <w:rsid w:val="00BC6037"/>
    <w:rsid w:val="00BD48C0"/>
    <w:rsid w:val="00BE6986"/>
    <w:rsid w:val="00C06635"/>
    <w:rsid w:val="00C14295"/>
    <w:rsid w:val="00C143E4"/>
    <w:rsid w:val="00C153A9"/>
    <w:rsid w:val="00C32D86"/>
    <w:rsid w:val="00C337FE"/>
    <w:rsid w:val="00C437E0"/>
    <w:rsid w:val="00C56B46"/>
    <w:rsid w:val="00C719A4"/>
    <w:rsid w:val="00C7777B"/>
    <w:rsid w:val="00C82313"/>
    <w:rsid w:val="00C905FF"/>
    <w:rsid w:val="00C9086E"/>
    <w:rsid w:val="00CA00E6"/>
    <w:rsid w:val="00CA2A4D"/>
    <w:rsid w:val="00CA3895"/>
    <w:rsid w:val="00CA4FE9"/>
    <w:rsid w:val="00CB1943"/>
    <w:rsid w:val="00CB6302"/>
    <w:rsid w:val="00CB6420"/>
    <w:rsid w:val="00CC0D33"/>
    <w:rsid w:val="00CD3CA0"/>
    <w:rsid w:val="00CD499E"/>
    <w:rsid w:val="00CD6659"/>
    <w:rsid w:val="00CD71C0"/>
    <w:rsid w:val="00CE35A4"/>
    <w:rsid w:val="00CE68E3"/>
    <w:rsid w:val="00CE7096"/>
    <w:rsid w:val="00CE7F58"/>
    <w:rsid w:val="00CF6FA8"/>
    <w:rsid w:val="00CF7615"/>
    <w:rsid w:val="00D00F5A"/>
    <w:rsid w:val="00D04BF2"/>
    <w:rsid w:val="00D05774"/>
    <w:rsid w:val="00D07726"/>
    <w:rsid w:val="00D168B0"/>
    <w:rsid w:val="00D172A5"/>
    <w:rsid w:val="00D20ECF"/>
    <w:rsid w:val="00D25037"/>
    <w:rsid w:val="00D2516B"/>
    <w:rsid w:val="00D44296"/>
    <w:rsid w:val="00D443DD"/>
    <w:rsid w:val="00D4706F"/>
    <w:rsid w:val="00D5638D"/>
    <w:rsid w:val="00D56A0C"/>
    <w:rsid w:val="00D57A89"/>
    <w:rsid w:val="00D676EC"/>
    <w:rsid w:val="00D67E56"/>
    <w:rsid w:val="00D86AD1"/>
    <w:rsid w:val="00D86E6E"/>
    <w:rsid w:val="00D93CE7"/>
    <w:rsid w:val="00DA05AD"/>
    <w:rsid w:val="00DA4A3D"/>
    <w:rsid w:val="00DB3D1B"/>
    <w:rsid w:val="00DC23FA"/>
    <w:rsid w:val="00DC3EFC"/>
    <w:rsid w:val="00DD6E84"/>
    <w:rsid w:val="00DE0230"/>
    <w:rsid w:val="00DF62BF"/>
    <w:rsid w:val="00E019B8"/>
    <w:rsid w:val="00E02DD6"/>
    <w:rsid w:val="00E12555"/>
    <w:rsid w:val="00E2672E"/>
    <w:rsid w:val="00E300A4"/>
    <w:rsid w:val="00E320E7"/>
    <w:rsid w:val="00E41664"/>
    <w:rsid w:val="00E42CFF"/>
    <w:rsid w:val="00E434DD"/>
    <w:rsid w:val="00E5383F"/>
    <w:rsid w:val="00E56188"/>
    <w:rsid w:val="00E706DA"/>
    <w:rsid w:val="00E709BA"/>
    <w:rsid w:val="00E82D22"/>
    <w:rsid w:val="00E86C3E"/>
    <w:rsid w:val="00E93062"/>
    <w:rsid w:val="00E96B40"/>
    <w:rsid w:val="00E9755A"/>
    <w:rsid w:val="00EA157E"/>
    <w:rsid w:val="00EA2F99"/>
    <w:rsid w:val="00EB03C4"/>
    <w:rsid w:val="00EC22A5"/>
    <w:rsid w:val="00EC4A6C"/>
    <w:rsid w:val="00ED23D0"/>
    <w:rsid w:val="00EF12F0"/>
    <w:rsid w:val="00EF482C"/>
    <w:rsid w:val="00F01ED2"/>
    <w:rsid w:val="00F03CA2"/>
    <w:rsid w:val="00F0417C"/>
    <w:rsid w:val="00F160F4"/>
    <w:rsid w:val="00F231BF"/>
    <w:rsid w:val="00F26C1E"/>
    <w:rsid w:val="00F362B2"/>
    <w:rsid w:val="00F5717E"/>
    <w:rsid w:val="00F62716"/>
    <w:rsid w:val="00F76B6E"/>
    <w:rsid w:val="00F76FF2"/>
    <w:rsid w:val="00F77D15"/>
    <w:rsid w:val="00F83008"/>
    <w:rsid w:val="00F96E02"/>
    <w:rsid w:val="00FA472E"/>
    <w:rsid w:val="00FC422C"/>
    <w:rsid w:val="00FC5B51"/>
    <w:rsid w:val="00FF063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6F467-AE40-4812-932B-43E7DB0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150"/>
    <w:rPr>
      <w:rFonts w:ascii="Times New Roman" w:eastAsia="Times New Roman" w:hAnsi="Times New Roman"/>
      <w:sz w:val="24"/>
      <w:szCs w:val="24"/>
    </w:rPr>
  </w:style>
  <w:style w:type="paragraph" w:styleId="Nadpis1">
    <w:name w:val="heading 1"/>
    <w:basedOn w:val="Normln"/>
    <w:next w:val="Normln"/>
    <w:link w:val="Nadpis1Char"/>
    <w:uiPriority w:val="9"/>
    <w:qFormat/>
    <w:rsid w:val="00320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hlav">
    <w:name w:val="header"/>
    <w:basedOn w:val="Normln"/>
    <w:link w:val="ZhlavChar"/>
    <w:uiPriority w:val="99"/>
    <w:unhideWhenUsed/>
    <w:rsid w:val="00C153A9"/>
    <w:pPr>
      <w:tabs>
        <w:tab w:val="center" w:pos="4536"/>
        <w:tab w:val="right" w:pos="9072"/>
      </w:tabs>
    </w:pPr>
  </w:style>
  <w:style w:type="character" w:customStyle="1" w:styleId="ZhlavChar">
    <w:name w:val="Záhlaví Char"/>
    <w:basedOn w:val="Standardnpsmoodstavce"/>
    <w:link w:val="Zhlav"/>
    <w:uiPriority w:val="99"/>
    <w:rsid w:val="00C153A9"/>
    <w:rPr>
      <w:rFonts w:ascii="Times New Roman" w:eastAsia="Times New Roman" w:hAnsi="Times New Roman"/>
      <w:sz w:val="24"/>
      <w:szCs w:val="24"/>
    </w:rPr>
  </w:style>
  <w:style w:type="paragraph" w:styleId="Zpat">
    <w:name w:val="footer"/>
    <w:basedOn w:val="Normln"/>
    <w:link w:val="ZpatChar"/>
    <w:uiPriority w:val="99"/>
    <w:unhideWhenUsed/>
    <w:rsid w:val="00C153A9"/>
    <w:pPr>
      <w:tabs>
        <w:tab w:val="center" w:pos="4536"/>
        <w:tab w:val="right" w:pos="9072"/>
      </w:tabs>
    </w:pPr>
  </w:style>
  <w:style w:type="character" w:customStyle="1" w:styleId="ZpatChar">
    <w:name w:val="Zápatí Char"/>
    <w:basedOn w:val="Standardnpsmoodstavce"/>
    <w:link w:val="Zpat"/>
    <w:uiPriority w:val="99"/>
    <w:rsid w:val="00C153A9"/>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5429C0"/>
    <w:rPr>
      <w:rFonts w:ascii="Tahoma" w:hAnsi="Tahoma" w:cs="Tahoma"/>
      <w:sz w:val="16"/>
      <w:szCs w:val="16"/>
    </w:rPr>
  </w:style>
  <w:style w:type="character" w:customStyle="1" w:styleId="TextbublinyChar">
    <w:name w:val="Text bubliny Char"/>
    <w:basedOn w:val="Standardnpsmoodstavce"/>
    <w:link w:val="Textbubliny"/>
    <w:uiPriority w:val="99"/>
    <w:semiHidden/>
    <w:rsid w:val="005429C0"/>
    <w:rPr>
      <w:rFonts w:ascii="Tahoma" w:eastAsia="Times New Roman" w:hAnsi="Tahoma" w:cs="Tahoma"/>
      <w:sz w:val="16"/>
      <w:szCs w:val="16"/>
    </w:rPr>
  </w:style>
  <w:style w:type="paragraph" w:styleId="Nzev">
    <w:name w:val="Title"/>
    <w:basedOn w:val="Normln"/>
    <w:link w:val="NzevChar"/>
    <w:uiPriority w:val="99"/>
    <w:qFormat/>
    <w:rsid w:val="004F7709"/>
    <w:pPr>
      <w:widowControl w:val="0"/>
      <w:tabs>
        <w:tab w:val="left" w:pos="-720"/>
      </w:tabs>
      <w:suppressAutoHyphens/>
      <w:jc w:val="center"/>
    </w:pPr>
    <w:rPr>
      <w:b/>
      <w:sz w:val="48"/>
      <w:szCs w:val="20"/>
      <w:lang w:val="en-US"/>
    </w:rPr>
  </w:style>
  <w:style w:type="character" w:customStyle="1" w:styleId="NzevChar">
    <w:name w:val="Název Char"/>
    <w:basedOn w:val="Standardnpsmoodstavce"/>
    <w:link w:val="Nzev"/>
    <w:uiPriority w:val="99"/>
    <w:rsid w:val="004F7709"/>
    <w:rPr>
      <w:rFonts w:ascii="Times New Roman" w:eastAsia="Times New Roman" w:hAnsi="Times New Roman"/>
      <w:b/>
      <w:sz w:val="48"/>
      <w:lang w:val="en-US"/>
    </w:rPr>
  </w:style>
  <w:style w:type="paragraph" w:styleId="Odstavecseseznamem">
    <w:name w:val="List Paragraph"/>
    <w:basedOn w:val="Normln"/>
    <w:uiPriority w:val="34"/>
    <w:qFormat/>
    <w:rsid w:val="00576825"/>
    <w:pPr>
      <w:ind w:left="720"/>
      <w:contextualSpacing/>
    </w:pPr>
  </w:style>
  <w:style w:type="character" w:customStyle="1" w:styleId="BezmezerChar">
    <w:name w:val="Bez mezer Char"/>
    <w:link w:val="Bezmezer"/>
    <w:uiPriority w:val="1"/>
    <w:rsid w:val="00FA472E"/>
    <w:rPr>
      <w:sz w:val="22"/>
      <w:szCs w:val="22"/>
      <w:lang w:eastAsia="en-US"/>
    </w:rPr>
  </w:style>
  <w:style w:type="character" w:customStyle="1" w:styleId="Nadpis1Char">
    <w:name w:val="Nadpis 1 Char"/>
    <w:basedOn w:val="Standardnpsmoodstavce"/>
    <w:link w:val="Nadpis1"/>
    <w:uiPriority w:val="9"/>
    <w:rsid w:val="00320249"/>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E12555"/>
    <w:rPr>
      <w:sz w:val="16"/>
      <w:szCs w:val="16"/>
    </w:rPr>
  </w:style>
  <w:style w:type="paragraph" w:styleId="Textkomente">
    <w:name w:val="annotation text"/>
    <w:basedOn w:val="Normln"/>
    <w:link w:val="TextkomenteChar"/>
    <w:uiPriority w:val="99"/>
    <w:semiHidden/>
    <w:unhideWhenUsed/>
    <w:rsid w:val="00E12555"/>
    <w:rPr>
      <w:sz w:val="20"/>
      <w:szCs w:val="20"/>
    </w:rPr>
  </w:style>
  <w:style w:type="character" w:customStyle="1" w:styleId="TextkomenteChar">
    <w:name w:val="Text komentáře Char"/>
    <w:basedOn w:val="Standardnpsmoodstavce"/>
    <w:link w:val="Textkomente"/>
    <w:uiPriority w:val="99"/>
    <w:semiHidden/>
    <w:rsid w:val="00E12555"/>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12555"/>
    <w:rPr>
      <w:b/>
      <w:bCs/>
    </w:rPr>
  </w:style>
  <w:style w:type="character" w:customStyle="1" w:styleId="PedmtkomenteChar">
    <w:name w:val="Předmět komentáře Char"/>
    <w:basedOn w:val="TextkomenteChar"/>
    <w:link w:val="Pedmtkomente"/>
    <w:uiPriority w:val="99"/>
    <w:semiHidden/>
    <w:rsid w:val="00E12555"/>
    <w:rPr>
      <w:rFonts w:ascii="Times New Roman" w:eastAsia="Times New Roman" w:hAnsi="Times New Roman"/>
      <w:b/>
      <w:bCs/>
    </w:rPr>
  </w:style>
  <w:style w:type="character" w:styleId="Hypertextovodkaz">
    <w:name w:val="Hyperlink"/>
    <w:basedOn w:val="Standardnpsmoodstavce"/>
    <w:uiPriority w:val="99"/>
    <w:unhideWhenUsed/>
    <w:rsid w:val="00C90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5428">
      <w:bodyDiv w:val="1"/>
      <w:marLeft w:val="0"/>
      <w:marRight w:val="0"/>
      <w:marTop w:val="0"/>
      <w:marBottom w:val="0"/>
      <w:divBdr>
        <w:top w:val="none" w:sz="0" w:space="0" w:color="auto"/>
        <w:left w:val="none" w:sz="0" w:space="0" w:color="auto"/>
        <w:bottom w:val="none" w:sz="0" w:space="0" w:color="auto"/>
        <w:right w:val="none" w:sz="0" w:space="0" w:color="auto"/>
      </w:divBdr>
    </w:div>
    <w:div w:id="695548479">
      <w:bodyDiv w:val="1"/>
      <w:marLeft w:val="0"/>
      <w:marRight w:val="0"/>
      <w:marTop w:val="0"/>
      <w:marBottom w:val="0"/>
      <w:divBdr>
        <w:top w:val="none" w:sz="0" w:space="0" w:color="auto"/>
        <w:left w:val="none" w:sz="0" w:space="0" w:color="auto"/>
        <w:bottom w:val="none" w:sz="0" w:space="0" w:color="auto"/>
        <w:right w:val="none" w:sz="0" w:space="0" w:color="auto"/>
      </w:divBdr>
    </w:div>
    <w:div w:id="723603141">
      <w:bodyDiv w:val="1"/>
      <w:marLeft w:val="0"/>
      <w:marRight w:val="0"/>
      <w:marTop w:val="0"/>
      <w:marBottom w:val="0"/>
      <w:divBdr>
        <w:top w:val="none" w:sz="0" w:space="0" w:color="auto"/>
        <w:left w:val="none" w:sz="0" w:space="0" w:color="auto"/>
        <w:bottom w:val="none" w:sz="0" w:space="0" w:color="auto"/>
        <w:right w:val="none" w:sz="0" w:space="0" w:color="auto"/>
      </w:divBdr>
    </w:div>
    <w:div w:id="1004938154">
      <w:bodyDiv w:val="1"/>
      <w:marLeft w:val="0"/>
      <w:marRight w:val="0"/>
      <w:marTop w:val="0"/>
      <w:marBottom w:val="0"/>
      <w:divBdr>
        <w:top w:val="none" w:sz="0" w:space="0" w:color="auto"/>
        <w:left w:val="none" w:sz="0" w:space="0" w:color="auto"/>
        <w:bottom w:val="none" w:sz="0" w:space="0" w:color="auto"/>
        <w:right w:val="none" w:sz="0" w:space="0" w:color="auto"/>
      </w:divBdr>
    </w:div>
    <w:div w:id="13946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4GL77HoUdc9mq8cK5v8d1L85C5phw4HtG9PuPqx6FGs=</DigestValue>
    </Reference>
    <Reference Type="http://www.w3.org/2000/09/xmldsig#Object" URI="#idOfficeObject">
      <DigestMethod Algorithm="http://www.w3.org/2001/04/xmlenc#sha256"/>
      <DigestValue>jNaDLZLL6og4LG3+BeQ/j7QXqpBBa0gHXk75f1/G4U0=</DigestValue>
    </Reference>
    <Reference Type="http://uri.etsi.org/01903#SignedProperties" URI="#idSignedProperties">
      <Transforms>
        <Transform Algorithm="http://www.w3.org/TR/2001/REC-xml-c14n-20010315"/>
      </Transforms>
      <DigestMethod Algorithm="http://www.w3.org/2001/04/xmlenc#sha256"/>
      <DigestValue>Kypm80Y/hFIlhI+GBak2x43lvF9/3u0KRdlZQ5hQYKo=</DigestValue>
    </Reference>
  </SignedInfo>
  <SignatureValue>V8iTlpu+8aAqCoMmXoxdUetdLsfaFl2U2NsjGQSRht05YvVMj/LH/es7F5jSv1pioeeUjO3rAS16
vveFBo/dAe/3Yf0hrXRqCk5UcnP0RwLEPsYi6LIxruOte7fdDwI6upkXg13PEgmPQZzD/lf/w1Gp
85dUxNYn9/DvpmfNrfwp74aDEB3TCPog5I95186NYiwbq81ToX3ajHkL9RnKqjiyOYN7MrFmp+jE
EywtsnzCaf/jx4McApCtTGo5YL0nGja6ezbxa/CgoTUvGWJT4aKHa6g9+5+U9LjqcXtPXlOV38kM
nuPF1lQ8Stm58SF1fPU0GEQEsg4IaE7mz2satQ==</SignatureValue>
  <KeyInfo>
    <X509Data>
      <X509Certificate>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3cKaLtU9J0EEAAYZ5FDb1sZ9jldXngE5zd8ARa65VuE=</DigestValue>
      </Reference>
      <Reference URI="/word/document.xml?ContentType=application/vnd.openxmlformats-officedocument.wordprocessingml.document.main+xml">
        <DigestMethod Algorithm="http://www.w3.org/2001/04/xmlenc#sha256"/>
        <DigestValue>/GgUR7VaOF8aKY2Tens2iNSXX1lNBA2rzFKgXAfajSs=</DigestValue>
      </Reference>
      <Reference URI="/word/endnotes.xml?ContentType=application/vnd.openxmlformats-officedocument.wordprocessingml.endnotes+xml">
        <DigestMethod Algorithm="http://www.w3.org/2001/04/xmlenc#sha256"/>
        <DigestValue>qQ4KZPvicmA2TM2+ZPmXluDQCbF/vRnQLMUuLHECswY=</DigestValue>
      </Reference>
      <Reference URI="/word/fontTable.xml?ContentType=application/vnd.openxmlformats-officedocument.wordprocessingml.fontTable+xml">
        <DigestMethod Algorithm="http://www.w3.org/2001/04/xmlenc#sha256"/>
        <DigestValue>mvIYmDll3l9NI/fY+G0eU9FnKRKIDP8s6IYOVoYC6JQ=</DigestValue>
      </Reference>
      <Reference URI="/word/footer1.xml?ContentType=application/vnd.openxmlformats-officedocument.wordprocessingml.footer+xml">
        <DigestMethod Algorithm="http://www.w3.org/2001/04/xmlenc#sha256"/>
        <DigestValue>+SfHfcf4glwSyVvmw5aQX4GfZQco0Sq5qggV7+69wwc=</DigestValue>
      </Reference>
      <Reference URI="/word/footnotes.xml?ContentType=application/vnd.openxmlformats-officedocument.wordprocessingml.footnotes+xml">
        <DigestMethod Algorithm="http://www.w3.org/2001/04/xmlenc#sha256"/>
        <DigestValue>7/rpK+77c3dlPaN5iazyq1EC5e3JcxoPPjZzqcNT8TY=</DigestValue>
      </Reference>
      <Reference URI="/word/numbering.xml?ContentType=application/vnd.openxmlformats-officedocument.wordprocessingml.numbering+xml">
        <DigestMethod Algorithm="http://www.w3.org/2001/04/xmlenc#sha256"/>
        <DigestValue>jZ0gySG24Eog+NEoILGEnf6tM0BpYjEmo6KymkLcB64=</DigestValue>
      </Reference>
      <Reference URI="/word/settings.xml?ContentType=application/vnd.openxmlformats-officedocument.wordprocessingml.settings+xml">
        <DigestMethod Algorithm="http://www.w3.org/2001/04/xmlenc#sha256"/>
        <DigestValue>OE2TgmqnsdfWoipcm91SoLI+nOAR46naXAZl9cIZKk0=</DigestValue>
      </Reference>
      <Reference URI="/word/styles.xml?ContentType=application/vnd.openxmlformats-officedocument.wordprocessingml.styles+xml">
        <DigestMethod Algorithm="http://www.w3.org/2001/04/xmlenc#sha256"/>
        <DigestValue>8vHKRkSdvMXf3QNWt74DBsIebwap4qi6OHxlN3VSbjA=</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12mP7rAojYdtaaU0yWyrEmvsM7qoDgfi35MXJ5qt0AY=</DigestValue>
      </Reference>
    </Manifest>
    <SignatureProperties>
      <SignatureProperty Id="idSignatureTime" Target="#idPackageSignature">
        <mdssi:SignatureTime xmlns:mdssi="http://schemas.openxmlformats.org/package/2006/digital-signature">
          <mdssi:Format>YYYY-MM-DDThh:mm:ssTZD</mdssi:Format>
          <mdssi:Value>2018-07-30T08:19:43Z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2018-07-30T08:19:43Z</xd:SigningTime>
          <xd:SigningCertificate>
            <xd:Cert>
              <xd:CertDigest>
                <DigestMethod Algorithm="http://www.w3.org/2001/04/xmlenc#sha256"/>
                <DigestValue>QMTiK2LsHFiku+lIjYKv5zJ3pn6pI/gRTQdDg6mBU/k=</DigestValue>
              </xd:CertDigest>
              <xd:IssuerSerial>
                <X509IssuerName>SERIALNUMBER=NTRCZ-26439395, O="První certifikační autorita, a.s.", CN=I.CA Qualified 2 CA/RSA 02/2016, C=CZ</X509IssuerName>
                <X509SerialNumber>11296974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8055-263A-45CD-BD1F-2610F319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5875</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CNPK</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Janeček</dc:creator>
  <cp:lastModifiedBy>Volín Richard</cp:lastModifiedBy>
  <cp:revision>2</cp:revision>
  <cp:lastPrinted>2018-01-03T14:25:00Z</cp:lastPrinted>
  <dcterms:created xsi:type="dcterms:W3CDTF">2018-07-30T08:19:00Z</dcterms:created>
  <dcterms:modified xsi:type="dcterms:W3CDTF">2018-07-30T08:19:00Z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