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4F4" w:rsidRDefault="00FA04F4" w:rsidP="00FA04F4">
      <w:pPr>
        <w:jc w:val="center"/>
        <w:rPr>
          <w:rFonts w:ascii="Book Antiqua" w:hAnsi="Book Antiqua"/>
        </w:rPr>
      </w:pPr>
    </w:p>
    <w:p w:rsidR="00794E4B" w:rsidRPr="00794E4B" w:rsidRDefault="00794E4B" w:rsidP="00794E4B">
      <w:pPr>
        <w:spacing w:before="120" w:after="120" w:line="240" w:lineRule="auto"/>
        <w:ind w:right="-24"/>
        <w:jc w:val="center"/>
        <w:rPr>
          <w:rFonts w:eastAsia="Times New Roman" w:cs="Calibri"/>
          <w:b/>
          <w:bCs/>
          <w:caps/>
          <w:sz w:val="36"/>
          <w:szCs w:val="36"/>
          <w:lang w:eastAsia="cs-CZ"/>
        </w:rPr>
      </w:pPr>
      <w:r w:rsidRPr="00794E4B">
        <w:rPr>
          <w:rFonts w:eastAsia="Times New Roman" w:cs="Calibri"/>
          <w:b/>
          <w:bCs/>
          <w:caps/>
          <w:sz w:val="36"/>
          <w:szCs w:val="36"/>
          <w:lang w:eastAsia="cs-CZ"/>
        </w:rPr>
        <w:t>„</w:t>
      </w:r>
      <w:proofErr w:type="spellStart"/>
      <w:r w:rsidRPr="00794E4B">
        <w:rPr>
          <w:rFonts w:cs="Calibri"/>
          <w:b/>
          <w:sz w:val="36"/>
          <w:szCs w:val="36"/>
          <w:lang w:val="en-US" w:eastAsia="cs-CZ"/>
        </w:rPr>
        <w:t>Centrální</w:t>
      </w:r>
      <w:proofErr w:type="spellEnd"/>
      <w:r w:rsidRPr="00794E4B">
        <w:rPr>
          <w:rFonts w:cs="Calibri"/>
          <w:b/>
          <w:sz w:val="36"/>
          <w:szCs w:val="36"/>
          <w:lang w:val="en-US" w:eastAsia="cs-CZ"/>
        </w:rPr>
        <w:t xml:space="preserve"> </w:t>
      </w:r>
      <w:proofErr w:type="spellStart"/>
      <w:r w:rsidRPr="00794E4B">
        <w:rPr>
          <w:rFonts w:cs="Calibri"/>
          <w:b/>
          <w:sz w:val="36"/>
          <w:szCs w:val="36"/>
          <w:lang w:val="en-US" w:eastAsia="cs-CZ"/>
        </w:rPr>
        <w:t>zakázka</w:t>
      </w:r>
      <w:proofErr w:type="spellEnd"/>
      <w:r w:rsidRPr="00794E4B">
        <w:rPr>
          <w:rFonts w:cs="Calibri"/>
          <w:b/>
          <w:sz w:val="36"/>
          <w:szCs w:val="36"/>
          <w:lang w:val="en-US" w:eastAsia="cs-CZ"/>
        </w:rPr>
        <w:t xml:space="preserve"> – </w:t>
      </w:r>
      <w:proofErr w:type="spellStart"/>
      <w:r w:rsidRPr="00794E4B">
        <w:rPr>
          <w:rFonts w:cs="Calibri"/>
          <w:b/>
          <w:sz w:val="36"/>
          <w:szCs w:val="36"/>
          <w:lang w:val="en-US" w:eastAsia="cs-CZ"/>
        </w:rPr>
        <w:t>revize</w:t>
      </w:r>
      <w:proofErr w:type="spellEnd"/>
      <w:r w:rsidRPr="00794E4B">
        <w:rPr>
          <w:rFonts w:cs="Calibri"/>
          <w:b/>
          <w:sz w:val="36"/>
          <w:szCs w:val="36"/>
          <w:lang w:val="en-US" w:eastAsia="cs-CZ"/>
        </w:rPr>
        <w:t xml:space="preserve"> a </w:t>
      </w:r>
      <w:proofErr w:type="spellStart"/>
      <w:r w:rsidRPr="00794E4B">
        <w:rPr>
          <w:rFonts w:cs="Calibri"/>
          <w:b/>
          <w:sz w:val="36"/>
          <w:szCs w:val="36"/>
          <w:lang w:val="en-US" w:eastAsia="cs-CZ"/>
        </w:rPr>
        <w:t>servis</w:t>
      </w:r>
      <w:proofErr w:type="spellEnd"/>
      <w:r w:rsidRPr="00794E4B">
        <w:rPr>
          <w:rFonts w:cs="Calibri"/>
          <w:b/>
          <w:sz w:val="36"/>
          <w:szCs w:val="36"/>
          <w:lang w:val="en-US" w:eastAsia="cs-CZ"/>
        </w:rPr>
        <w:t xml:space="preserve"> </w:t>
      </w:r>
      <w:proofErr w:type="spellStart"/>
      <w:r w:rsidRPr="00794E4B">
        <w:rPr>
          <w:rFonts w:cs="Calibri"/>
          <w:b/>
          <w:sz w:val="36"/>
          <w:szCs w:val="36"/>
          <w:lang w:val="en-US" w:eastAsia="cs-CZ"/>
        </w:rPr>
        <w:t>výtahů</w:t>
      </w:r>
      <w:proofErr w:type="spellEnd"/>
      <w:r w:rsidRPr="00794E4B">
        <w:rPr>
          <w:rFonts w:cs="Calibri"/>
          <w:b/>
          <w:sz w:val="36"/>
          <w:szCs w:val="36"/>
          <w:lang w:val="en-US" w:eastAsia="cs-CZ"/>
        </w:rPr>
        <w:t xml:space="preserve"> pro </w:t>
      </w:r>
      <w:proofErr w:type="spellStart"/>
      <w:r w:rsidRPr="00794E4B">
        <w:rPr>
          <w:rFonts w:cs="Calibri"/>
          <w:b/>
          <w:sz w:val="36"/>
          <w:szCs w:val="36"/>
          <w:lang w:val="en-US" w:eastAsia="cs-CZ"/>
        </w:rPr>
        <w:t>organizace</w:t>
      </w:r>
      <w:proofErr w:type="spellEnd"/>
      <w:r w:rsidRPr="00794E4B">
        <w:rPr>
          <w:rFonts w:cs="Calibri"/>
          <w:b/>
          <w:sz w:val="36"/>
          <w:szCs w:val="36"/>
          <w:lang w:val="en-US" w:eastAsia="cs-CZ"/>
        </w:rPr>
        <w:t xml:space="preserve"> </w:t>
      </w:r>
      <w:proofErr w:type="spellStart"/>
      <w:r w:rsidRPr="00794E4B">
        <w:rPr>
          <w:rFonts w:cs="Calibri"/>
          <w:b/>
          <w:sz w:val="36"/>
          <w:szCs w:val="36"/>
          <w:lang w:val="en-US" w:eastAsia="cs-CZ"/>
        </w:rPr>
        <w:t>Plzeňského</w:t>
      </w:r>
      <w:proofErr w:type="spellEnd"/>
      <w:r w:rsidRPr="00794E4B">
        <w:rPr>
          <w:rFonts w:cs="Calibri"/>
          <w:b/>
          <w:sz w:val="36"/>
          <w:szCs w:val="36"/>
          <w:lang w:val="en-US" w:eastAsia="cs-CZ"/>
        </w:rPr>
        <w:t xml:space="preserve"> </w:t>
      </w:r>
      <w:proofErr w:type="spellStart"/>
      <w:r w:rsidRPr="00794E4B">
        <w:rPr>
          <w:rFonts w:cs="Calibri"/>
          <w:b/>
          <w:sz w:val="36"/>
          <w:szCs w:val="36"/>
          <w:lang w:val="en-US" w:eastAsia="cs-CZ"/>
        </w:rPr>
        <w:t>kraje</w:t>
      </w:r>
      <w:proofErr w:type="spellEnd"/>
      <w:r w:rsidRPr="00794E4B">
        <w:rPr>
          <w:rFonts w:eastAsia="Times New Roman" w:cs="Calibri"/>
          <w:b/>
          <w:bCs/>
          <w:caps/>
          <w:sz w:val="36"/>
          <w:szCs w:val="36"/>
          <w:lang w:eastAsia="cs-CZ"/>
        </w:rPr>
        <w:t>“</w:t>
      </w:r>
    </w:p>
    <w:p w:rsidR="00FA04F4" w:rsidRDefault="00FA04F4" w:rsidP="00FA04F4">
      <w:pPr>
        <w:rPr>
          <w:rFonts w:eastAsia="Arial Unicode MS"/>
          <w:b/>
          <w:bCs/>
          <w:smallCaps/>
          <w:sz w:val="24"/>
        </w:rPr>
      </w:pPr>
    </w:p>
    <w:p w:rsidR="00FA04F4" w:rsidRDefault="00FA04F4" w:rsidP="00FA04F4">
      <w:pPr>
        <w:pStyle w:val="Nadpis1"/>
      </w:pPr>
      <w:r>
        <w:t xml:space="preserve">Specifikace předmětu plnění – rozsah činností </w:t>
      </w:r>
    </w:p>
    <w:p w:rsidR="00FA04F4" w:rsidRDefault="00FA04F4" w:rsidP="00FA04F4">
      <w:pPr>
        <w:jc w:val="center"/>
        <w:rPr>
          <w:rFonts w:ascii="Book Antiqua" w:hAnsi="Book Antiqua"/>
        </w:rPr>
      </w:pPr>
    </w:p>
    <w:p w:rsidR="00FA04F4" w:rsidRDefault="00FA04F4" w:rsidP="00FA04F4">
      <w:pPr>
        <w:jc w:val="center"/>
        <w:rPr>
          <w:rFonts w:ascii="Book Antiqua" w:hAnsi="Book Antiqua"/>
        </w:rPr>
      </w:pPr>
    </w:p>
    <w:p w:rsidR="00FA04F4" w:rsidRDefault="00FA04F4" w:rsidP="00FA04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Udržování dokumentace, dokladů a pokynů pro provoz výtahu v řádném stavu, umožnění provádění zápisů a záznamů oprávněnými osobami a přikládání nedílných náležitostí do Knihy výtahu v souladu s ČSN 27 4002.</w:t>
      </w:r>
    </w:p>
    <w:p w:rsidR="00FA04F4" w:rsidRDefault="00FA04F4" w:rsidP="00FA04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Provádění odborných zkoušek a zajištění podmínek pro vykonání inspekčních prohlídek </w:t>
      </w:r>
      <w:proofErr w:type="gramStart"/>
      <w:r>
        <w:t>dle              ČSN</w:t>
      </w:r>
      <w:proofErr w:type="gramEnd"/>
      <w:r>
        <w:t xml:space="preserve"> 27 4007. Zprostředkování vykonání inspekčních prohlídek autorizovanou </w:t>
      </w:r>
      <w:proofErr w:type="gramStart"/>
      <w:r>
        <w:t>osobou..</w:t>
      </w:r>
      <w:proofErr w:type="gramEnd"/>
    </w:p>
    <w:p w:rsidR="00FA04F4" w:rsidRDefault="00FA04F4" w:rsidP="00FA04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Provádění provozních prohlídek v souladu s ČSN 27 4002.</w:t>
      </w:r>
    </w:p>
    <w:p w:rsidR="00FA04F4" w:rsidRDefault="00FA04F4" w:rsidP="00FA04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Provádění odborných prohlídek v souladu s ČSN 27 4002.</w:t>
      </w:r>
    </w:p>
    <w:p w:rsidR="00FA04F4" w:rsidRDefault="00FA04F4" w:rsidP="00FA04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Činnost dozorce výtahu v plném rozsahu dle ČSN 27 4002.</w:t>
      </w:r>
    </w:p>
    <w:p w:rsidR="00FA04F4" w:rsidRDefault="00FA04F4" w:rsidP="00FA04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Zajištění vyproštění osob uvězněných v kleci výtahu nepřetržitě po dobu 24 hodin denně nejdéle do </w:t>
      </w:r>
      <w:r w:rsidR="008434D5">
        <w:t>120</w:t>
      </w:r>
      <w:r>
        <w:t xml:space="preserve"> minut od oznámení kontaktní osobou zadavatele.</w:t>
      </w:r>
    </w:p>
    <w:p w:rsidR="00FA04F4" w:rsidRDefault="00FA04F4" w:rsidP="00FA04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Informování objednatele o stavu výtahu v termínech provádění odborných prohlídek.</w:t>
      </w:r>
    </w:p>
    <w:p w:rsidR="00FA04F4" w:rsidRDefault="00FA04F4" w:rsidP="00FA04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Odstraňování běžných provozních poruch výtahů. Odstranění takovýchto závad výtahů, které se na nich vyskytnou mimo pravidelný servis (paušální úkony)</w:t>
      </w:r>
      <w:r w:rsidR="008434D5">
        <w:t>,</w:t>
      </w:r>
      <w:r>
        <w:t xml:space="preserve"> bude zahájeno nejpozději</w:t>
      </w:r>
      <w:r w:rsidR="008434D5">
        <w:t xml:space="preserve"> následující pracovní</w:t>
      </w:r>
      <w:r>
        <w:t xml:space="preserve"> d</w:t>
      </w:r>
      <w:r w:rsidR="008434D5">
        <w:t>en</w:t>
      </w:r>
      <w:r>
        <w:t xml:space="preserve"> od oznámení</w:t>
      </w:r>
      <w:r w:rsidR="008434D5">
        <w:t xml:space="preserve"> závady</w:t>
      </w:r>
      <w:r>
        <w:t xml:space="preserve"> kontaktní osobou zadavatele.</w:t>
      </w:r>
    </w:p>
    <w:p w:rsidR="00FA04F4" w:rsidRDefault="00FA04F4" w:rsidP="00FA04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Provádění preventivní údržby</w:t>
      </w:r>
      <w:r w:rsidRPr="00B031DB">
        <w:t xml:space="preserve"> </w:t>
      </w:r>
      <w:r>
        <w:t>v rozsahu paušálních úkonů, zejména kontrol těchto prvků: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obnova vybavení – tabulky, návody a příslušenství,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vyvažovací zařízení, upevnění nosných prostředků, vodící čelisti, zachycovače, vodící kladky,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zařízení pro zastavování klece ve stanicích,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bezpečnostní a ovládací spínače,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osvětlení klece, ovládače v kleci, nouzová signalizace v kleci, tabulky, návody a výrobní štítek,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dveře klece, pohon, spínače,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 xml:space="preserve">bezpečnostní clona, podlaha ( </w:t>
      </w:r>
      <w:proofErr w:type="gramStart"/>
      <w:r>
        <w:t>spínače ),</w:t>
      </w:r>
      <w:proofErr w:type="gramEnd"/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hlídače lan, upevnění nosných prostředků, vodící čelisti, zachycovače,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vážící zařízení,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proofErr w:type="spellStart"/>
      <w:r>
        <w:t>odkláněcí</w:t>
      </w:r>
      <w:proofErr w:type="spellEnd"/>
      <w:r>
        <w:t xml:space="preserve"> a převáděcí kladky,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 xml:space="preserve">upevnění vyvažovacích ( </w:t>
      </w:r>
      <w:proofErr w:type="gramStart"/>
      <w:r>
        <w:t>kompenzačních ) prostředků</w:t>
      </w:r>
      <w:proofErr w:type="gramEnd"/>
      <w:r>
        <w:t>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upevnění závěsných kabelů,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revizní jízda,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systém zastavování ve stanicích,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funkce zajišťovacích prvků šachetních dveří,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funkce dveřních mechanismů a pohonů šachetních dveří,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 xml:space="preserve">zavírače a </w:t>
      </w:r>
      <w:proofErr w:type="spellStart"/>
      <w:r>
        <w:t>dovírače</w:t>
      </w:r>
      <w:proofErr w:type="spellEnd"/>
      <w:r>
        <w:t xml:space="preserve"> šachetních dveří,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nouzové otevírání šachetních dveří,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ovladače v jednotlivých stanicích,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signalizace v jednotlivých stanicích,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návody v jednotlivých stanicích,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mazání dle mazacího plánu,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lastRenderedPageBreak/>
        <w:t>doplňování oleje do převodovky,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 xml:space="preserve">čištění výtahové prohlubně jednou za tři měsíce ( vyčištěním v rámci této smlouvy je myšleno očištění od provozních nečistot vzniklých provozem </w:t>
      </w:r>
      <w:proofErr w:type="gramStart"/>
      <w:r>
        <w:t>výtahu )</w:t>
      </w:r>
      <w:proofErr w:type="gramEnd"/>
    </w:p>
    <w:p w:rsidR="00FA04F4" w:rsidRDefault="00FA04F4" w:rsidP="00FA04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Zkouška po opravě dle ČSN 27 4007.</w:t>
      </w:r>
    </w:p>
    <w:p w:rsidR="00FA04F4" w:rsidRDefault="00FA04F4" w:rsidP="00FA04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Provádění podstatných změn k odstranění provozních rizik výtahu.</w:t>
      </w:r>
    </w:p>
    <w:p w:rsidR="00FA04F4" w:rsidRDefault="00FA04F4" w:rsidP="00FA04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Údržba a čištění vnějších částí výtahové šachty a údržba a čištění vnitřních prostor klece.</w:t>
      </w:r>
    </w:p>
    <w:p w:rsidR="00FA04F4" w:rsidRDefault="00FA04F4" w:rsidP="00FA04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Předmět plnění zajistí zhotovitel ve lhůtách dle příslušných ČSN.</w:t>
      </w:r>
    </w:p>
    <w:p w:rsidR="00FA04F4" w:rsidRDefault="00FA04F4" w:rsidP="00FA04F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</w:rPr>
      </w:pPr>
      <w:r>
        <w:t xml:space="preserve">Zhotovitel je povinen při provádění díla dodržet zejména tyto náležitosti ( obsah a technologie </w:t>
      </w:r>
      <w:proofErr w:type="gramStart"/>
      <w:r>
        <w:t>prací )</w:t>
      </w:r>
      <w:proofErr w:type="gramEnd"/>
    </w:p>
    <w:p w:rsidR="00FA04F4" w:rsidRPr="00814A7A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 w:rsidRPr="00814A7A">
        <w:t xml:space="preserve">Vypracovat, nebo aktualizovat do </w:t>
      </w:r>
      <w:proofErr w:type="gramStart"/>
      <w:r w:rsidRPr="00814A7A">
        <w:t>30ti</w:t>
      </w:r>
      <w:proofErr w:type="gramEnd"/>
      <w:r w:rsidRPr="00814A7A">
        <w:t xml:space="preserve"> dnů od uzavření smlouvy návod k používání všech výtahů a tyto předat objednateli a umístit vždy na výtahu v souladu s ČSN, zároveň je také povinen je udržovat v řádném stavu.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 xml:space="preserve">Vypracovat, nebo aktualizovat do </w:t>
      </w:r>
      <w:proofErr w:type="gramStart"/>
      <w:r>
        <w:t>30ti</w:t>
      </w:r>
      <w:proofErr w:type="gramEnd"/>
      <w:r>
        <w:t xml:space="preserve"> dnů od uzavření smlouvy plán údržby  všech výtahů tak, aby pravidelná preventivní údržba podle přílohy B normy ČSN 27 4002 byla přiměřená pro výtahy bez ohrožení bezpečnosti osob s minimalizací času, kdy je zařízení mimo provoz. Plán pravidelné preventivní údržby u každého jednoho výtahu musí být upraven s uvážením všech předvídatelných poruch, například zneužitím, špatným zacházením, poničením apod.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Provádět odborné činnosti odbornými servisními pracovníky, jejichž odbornost je zhotovitelem udržována, a kteří jsou vybaveni potřebnými postupy, nářadím a potřebnými náhradními díly.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Informovat bez zbytečného prodlení objednatele o každém nutném zásahu, který vyplývá ze zjištěného výskytu nebezpečí, nebo analýzy provozních rizik.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</w:pPr>
      <w:r>
        <w:t>Zaznamenávat výsledky závažného zásahu při poruše výtahu do Knihy výtahu. Tyto záznamy musí obsahovat druhy poruch, aby bylo možné zjistit jejich opakování.</w:t>
      </w:r>
    </w:p>
    <w:p w:rsidR="00FA04F4" w:rsidRDefault="00FA04F4" w:rsidP="00FA04F4">
      <w:pPr>
        <w:numPr>
          <w:ilvl w:val="1"/>
          <w:numId w:val="1"/>
        </w:numPr>
        <w:tabs>
          <w:tab w:val="clear" w:pos="1785"/>
          <w:tab w:val="num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Book Antiqua" w:hAnsi="Book Antiqua"/>
          <w:sz w:val="24"/>
        </w:rPr>
      </w:pPr>
      <w:r>
        <w:t xml:space="preserve">Zajistit vlastním nákladem likvidaci nebezpečného odpadu z prostor výtahové šachty, strojovny a výtahové prohlubně, pokud zde budou při jejich čištění nalezeny. </w:t>
      </w:r>
    </w:p>
    <w:p w:rsidR="00ED252A" w:rsidRDefault="00ED252A" w:rsidP="00ED252A">
      <w:pPr>
        <w:rPr>
          <w:b/>
          <w:bCs/>
          <w:sz w:val="28"/>
          <w:szCs w:val="28"/>
        </w:rPr>
      </w:pPr>
    </w:p>
    <w:sectPr w:rsidR="00ED252A" w:rsidSect="00B37736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F02" w:rsidRDefault="00930F02" w:rsidP="009813CE">
      <w:pPr>
        <w:spacing w:after="0" w:line="240" w:lineRule="auto"/>
      </w:pPr>
      <w:r>
        <w:separator/>
      </w:r>
    </w:p>
  </w:endnote>
  <w:endnote w:type="continuationSeparator" w:id="0">
    <w:p w:rsidR="00930F02" w:rsidRDefault="00930F02" w:rsidP="0098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E3C" w:rsidRDefault="00280E3C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A8F" w:rsidRPr="00BF76AD" w:rsidRDefault="00280E3C" w:rsidP="00A22A8F">
    <w:pPr>
      <w:pStyle w:val="Zpat"/>
      <w:rPr>
        <w:b/>
        <w:color w:val="808080" w:themeColor="background1" w:themeShade="80"/>
        <w:sz w:val="18"/>
        <w:szCs w:val="18"/>
      </w:rPr>
    </w:pPr>
    <w:r w:rsidRPr="007407D6">
      <w:rPr>
        <w:b/>
        <w:color w:val="808080" w:themeColor="background1" w:themeShade="80"/>
        <w:sz w:val="20"/>
      </w:rPr>
      <w:t xml:space="preserve">tel.: +420 377 224 260 </w:t>
    </w:r>
    <w:r w:rsidRPr="007407D6">
      <w:rPr>
        <w:rFonts w:cs="Calibri"/>
        <w:b/>
        <w:color w:val="808080" w:themeColor="background1" w:themeShade="80"/>
        <w:sz w:val="20"/>
      </w:rPr>
      <w:t>|</w:t>
    </w:r>
    <w:r w:rsidRPr="007407D6">
      <w:rPr>
        <w:b/>
        <w:color w:val="808080" w:themeColor="background1" w:themeShade="80"/>
        <w:sz w:val="20"/>
      </w:rPr>
      <w:t xml:space="preserve"> www.cnpk.cz </w:t>
    </w:r>
    <w:r w:rsidRPr="007407D6">
      <w:rPr>
        <w:rFonts w:cs="Calibri"/>
        <w:b/>
        <w:color w:val="808080" w:themeColor="background1" w:themeShade="80"/>
        <w:sz w:val="20"/>
      </w:rPr>
      <w:t>|</w:t>
    </w:r>
    <w:r w:rsidRPr="007407D6">
      <w:rPr>
        <w:b/>
        <w:color w:val="808080" w:themeColor="background1" w:themeShade="80"/>
        <w:sz w:val="20"/>
      </w:rPr>
      <w:t xml:space="preserve"> IČO: 72046635</w:t>
    </w:r>
    <w:r w:rsidR="00A22A8F">
      <w:rPr>
        <w:rFonts w:cs="Calibri"/>
        <w:b/>
        <w:color w:val="808080" w:themeColor="background1" w:themeShade="80"/>
        <w:sz w:val="20"/>
      </w:rPr>
      <w:t xml:space="preserve"> </w:t>
    </w:r>
    <w:r w:rsidR="00A22A8F" w:rsidRPr="007407D6">
      <w:rPr>
        <w:rFonts w:cs="Calibri"/>
        <w:b/>
        <w:color w:val="808080" w:themeColor="background1" w:themeShade="80"/>
        <w:sz w:val="20"/>
      </w:rPr>
      <w:t>|</w:t>
    </w:r>
    <w:r w:rsidR="00A22A8F">
      <w:rPr>
        <w:rFonts w:cs="Calibri"/>
        <w:b/>
        <w:color w:val="808080" w:themeColor="background1" w:themeShade="80"/>
        <w:sz w:val="20"/>
      </w:rPr>
      <w:t xml:space="preserve">Centrální nákup, příspěvková organizace, </w:t>
    </w:r>
    <w:r w:rsidR="00A22A8F" w:rsidRPr="00BF76AD">
      <w:rPr>
        <w:rFonts w:cs="Calibri"/>
        <w:b/>
        <w:color w:val="808080" w:themeColor="background1" w:themeShade="80"/>
        <w:sz w:val="18"/>
        <w:szCs w:val="18"/>
      </w:rPr>
      <w:t xml:space="preserve">zapsaná v obchodním rejstříku vedeném </w:t>
    </w:r>
    <w:r w:rsidR="00A22A8F">
      <w:rPr>
        <w:rFonts w:cs="Calibri"/>
        <w:b/>
        <w:color w:val="808080" w:themeColor="background1" w:themeShade="80"/>
        <w:sz w:val="18"/>
        <w:szCs w:val="18"/>
      </w:rPr>
      <w:t>K</w:t>
    </w:r>
    <w:r w:rsidR="00A22A8F" w:rsidRPr="00BF76AD">
      <w:rPr>
        <w:rFonts w:cs="Calibri"/>
        <w:b/>
        <w:color w:val="808080" w:themeColor="background1" w:themeShade="80"/>
        <w:sz w:val="18"/>
        <w:szCs w:val="18"/>
      </w:rPr>
      <w:t>rajsk</w:t>
    </w:r>
    <w:r w:rsidR="00A22A8F">
      <w:rPr>
        <w:rFonts w:cs="Calibri"/>
        <w:b/>
        <w:color w:val="808080" w:themeColor="background1" w:themeShade="80"/>
        <w:sz w:val="18"/>
        <w:szCs w:val="18"/>
      </w:rPr>
      <w:t>ým</w:t>
    </w:r>
    <w:r w:rsidR="00A22A8F" w:rsidRPr="00BF76AD">
      <w:rPr>
        <w:rFonts w:cs="Calibri"/>
        <w:b/>
        <w:color w:val="808080" w:themeColor="background1" w:themeShade="80"/>
        <w:sz w:val="18"/>
        <w:szCs w:val="18"/>
      </w:rPr>
      <w:t xml:space="preserve"> soud</w:t>
    </w:r>
    <w:r w:rsidR="00A22A8F">
      <w:rPr>
        <w:rFonts w:cs="Calibri"/>
        <w:b/>
        <w:color w:val="808080" w:themeColor="background1" w:themeShade="80"/>
        <w:sz w:val="18"/>
        <w:szCs w:val="18"/>
      </w:rPr>
      <w:t>em</w:t>
    </w:r>
    <w:r w:rsidR="00A22A8F" w:rsidRPr="00BF76AD">
      <w:rPr>
        <w:rFonts w:cs="Calibri"/>
        <w:b/>
        <w:color w:val="808080" w:themeColor="background1" w:themeShade="80"/>
        <w:sz w:val="18"/>
        <w:szCs w:val="18"/>
      </w:rPr>
      <w:t xml:space="preserve"> v</w:t>
    </w:r>
    <w:r w:rsidR="00A22A8F">
      <w:rPr>
        <w:rFonts w:cs="Calibri"/>
        <w:b/>
        <w:color w:val="808080" w:themeColor="background1" w:themeShade="80"/>
        <w:sz w:val="18"/>
        <w:szCs w:val="18"/>
      </w:rPr>
      <w:t xml:space="preserve"> Plzni, oddíl </w:t>
    </w:r>
    <w:proofErr w:type="spellStart"/>
    <w:r w:rsidR="00A22A8F">
      <w:rPr>
        <w:rFonts w:cs="Calibri"/>
        <w:b/>
        <w:color w:val="808080" w:themeColor="background1" w:themeShade="80"/>
        <w:sz w:val="18"/>
        <w:szCs w:val="18"/>
      </w:rPr>
      <w:t>Pr</w:t>
    </w:r>
    <w:proofErr w:type="spellEnd"/>
    <w:r w:rsidR="00A22A8F">
      <w:rPr>
        <w:rFonts w:cs="Calibri"/>
        <w:b/>
        <w:color w:val="808080" w:themeColor="background1" w:themeShade="80"/>
        <w:sz w:val="18"/>
        <w:szCs w:val="18"/>
      </w:rPr>
      <w:t>, vložka</w:t>
    </w:r>
    <w:r w:rsidR="00A22A8F" w:rsidRPr="00BF76AD">
      <w:rPr>
        <w:rFonts w:cs="Calibri"/>
        <w:b/>
        <w:color w:val="808080" w:themeColor="background1" w:themeShade="80"/>
        <w:sz w:val="18"/>
        <w:szCs w:val="18"/>
      </w:rPr>
      <w:t xml:space="preserve"> 723</w:t>
    </w:r>
  </w:p>
  <w:p w:rsidR="00A22A8F" w:rsidRDefault="00A22A8F" w:rsidP="00A22A8F">
    <w:pPr>
      <w:pStyle w:val="Zpat"/>
      <w:rPr>
        <w:b/>
        <w:color w:val="808080" w:themeColor="background1" w:themeShade="80"/>
        <w:sz w:val="18"/>
        <w:szCs w:val="18"/>
      </w:rPr>
    </w:pPr>
  </w:p>
  <w:p w:rsidR="00280E3C" w:rsidRPr="007407D6" w:rsidRDefault="00280E3C">
    <w:pPr>
      <w:pStyle w:val="Zpat"/>
      <w:rPr>
        <w:b/>
        <w:color w:val="808080" w:themeColor="background1" w:themeShade="8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F02" w:rsidRDefault="00930F02" w:rsidP="009813CE">
      <w:pPr>
        <w:spacing w:after="0" w:line="240" w:lineRule="auto"/>
      </w:pPr>
      <w:r>
        <w:separator/>
      </w:r>
    </w:p>
  </w:footnote>
  <w:footnote w:type="continuationSeparator" w:id="0">
    <w:p w:rsidR="00930F02" w:rsidRDefault="00930F02" w:rsidP="0098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E3C" w:rsidRDefault="00280E3C" w:rsidP="009813C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-720090</wp:posOffset>
          </wp:positionV>
          <wp:extent cx="6259830" cy="1047750"/>
          <wp:effectExtent l="19050" t="0" r="7620" b="0"/>
          <wp:wrapSquare wrapText="bothSides"/>
          <wp:docPr id="10" name="Obrázek 3" descr="záhlaví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záhlaví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144" r="9525" b="56087"/>
                  <a:stretch>
                    <a:fillRect/>
                  </a:stretch>
                </pic:blipFill>
                <pic:spPr bwMode="auto">
                  <a:xfrm>
                    <a:off x="0" y="0"/>
                    <a:ext cx="625983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75457"/>
    <w:multiLevelType w:val="hybridMultilevel"/>
    <w:tmpl w:val="CCD4582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3F10C2"/>
    <w:multiLevelType w:val="hybridMultilevel"/>
    <w:tmpl w:val="3F1ECF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58F0AC">
      <w:start w:val="1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3B2CD7"/>
    <w:rsid w:val="00034D97"/>
    <w:rsid w:val="001119F3"/>
    <w:rsid w:val="001B5145"/>
    <w:rsid w:val="001E42EE"/>
    <w:rsid w:val="00215217"/>
    <w:rsid w:val="00236150"/>
    <w:rsid w:val="00280E3C"/>
    <w:rsid w:val="002900FB"/>
    <w:rsid w:val="00292F8C"/>
    <w:rsid w:val="002D424D"/>
    <w:rsid w:val="00384A9B"/>
    <w:rsid w:val="003B2CD7"/>
    <w:rsid w:val="00447296"/>
    <w:rsid w:val="004626DF"/>
    <w:rsid w:val="00470FD8"/>
    <w:rsid w:val="004A5CB9"/>
    <w:rsid w:val="004B0D8E"/>
    <w:rsid w:val="00500FCF"/>
    <w:rsid w:val="0050673C"/>
    <w:rsid w:val="005127CB"/>
    <w:rsid w:val="005303EB"/>
    <w:rsid w:val="005923ED"/>
    <w:rsid w:val="005B6544"/>
    <w:rsid w:val="006E411D"/>
    <w:rsid w:val="007407D6"/>
    <w:rsid w:val="0076720C"/>
    <w:rsid w:val="00794E4B"/>
    <w:rsid w:val="007C32B9"/>
    <w:rsid w:val="00827626"/>
    <w:rsid w:val="008434D5"/>
    <w:rsid w:val="00853732"/>
    <w:rsid w:val="008902D8"/>
    <w:rsid w:val="00896EBF"/>
    <w:rsid w:val="008B7EB3"/>
    <w:rsid w:val="008F58C2"/>
    <w:rsid w:val="00930F02"/>
    <w:rsid w:val="00960A44"/>
    <w:rsid w:val="00971DE5"/>
    <w:rsid w:val="009813CE"/>
    <w:rsid w:val="00A17D62"/>
    <w:rsid w:val="00A22A8F"/>
    <w:rsid w:val="00A54AB3"/>
    <w:rsid w:val="00B37736"/>
    <w:rsid w:val="00B7387F"/>
    <w:rsid w:val="00BC6146"/>
    <w:rsid w:val="00BD6F71"/>
    <w:rsid w:val="00C20EF4"/>
    <w:rsid w:val="00C66AC3"/>
    <w:rsid w:val="00CA2DCF"/>
    <w:rsid w:val="00CD6AD7"/>
    <w:rsid w:val="00CE701E"/>
    <w:rsid w:val="00DB1D7E"/>
    <w:rsid w:val="00E568CD"/>
    <w:rsid w:val="00E830EA"/>
    <w:rsid w:val="00ED252A"/>
    <w:rsid w:val="00F14C0D"/>
    <w:rsid w:val="00F54EB9"/>
    <w:rsid w:val="00F660BC"/>
    <w:rsid w:val="00FA04F4"/>
    <w:rsid w:val="00FC5C6C"/>
    <w:rsid w:val="00FE0C09"/>
    <w:rsid w:val="00FE7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6EB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4626DF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8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13CE"/>
  </w:style>
  <w:style w:type="paragraph" w:styleId="Zpat">
    <w:name w:val="footer"/>
    <w:basedOn w:val="Normln"/>
    <w:link w:val="ZpatChar"/>
    <w:uiPriority w:val="99"/>
    <w:unhideWhenUsed/>
    <w:rsid w:val="0098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13CE"/>
  </w:style>
  <w:style w:type="paragraph" w:styleId="Textbubliny">
    <w:name w:val="Balloon Text"/>
    <w:basedOn w:val="Normln"/>
    <w:link w:val="TextbublinyChar"/>
    <w:uiPriority w:val="99"/>
    <w:semiHidden/>
    <w:unhideWhenUsed/>
    <w:rsid w:val="009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3C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B7E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8B7EB3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4626DF"/>
    <w:rPr>
      <w:rFonts w:ascii="Times New Roman" w:eastAsia="Times New Roman" w:hAnsi="Times New Roman"/>
      <w:b/>
      <w:bCs/>
      <w:sz w:val="24"/>
    </w:rPr>
  </w:style>
  <w:style w:type="paragraph" w:styleId="Zkladntext">
    <w:name w:val="Body Text"/>
    <w:basedOn w:val="Normln"/>
    <w:link w:val="ZkladntextChar"/>
    <w:semiHidden/>
    <w:rsid w:val="00ED252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Cs w:val="28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D252A"/>
    <w:rPr>
      <w:rFonts w:ascii="Times New Roman" w:eastAsia="Times New Roman" w:hAnsi="Times New Roman"/>
      <w:b/>
      <w:bCs/>
      <w:sz w:val="22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586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Matějková</dc:creator>
  <cp:lastModifiedBy>flckren</cp:lastModifiedBy>
  <cp:revision>4</cp:revision>
  <cp:lastPrinted>2011-06-21T06:50:00Z</cp:lastPrinted>
  <dcterms:created xsi:type="dcterms:W3CDTF">2017-07-12T10:46:00Z</dcterms:created>
  <dcterms:modified xsi:type="dcterms:W3CDTF">2017-07-18T13:05:00Z</dcterms:modified>
</cp:coreProperties>
</file>