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973"/>
        <w:tblW w:w="9855" w:type="dxa"/>
        <w:tblLook w:val="01E0" w:firstRow="1" w:lastRow="1" w:firstColumn="1" w:lastColumn="1" w:noHBand="0" w:noVBand="0"/>
      </w:tblPr>
      <w:tblGrid>
        <w:gridCol w:w="1110"/>
        <w:gridCol w:w="1276"/>
        <w:gridCol w:w="849"/>
        <w:gridCol w:w="1273"/>
        <w:gridCol w:w="1996"/>
        <w:gridCol w:w="563"/>
        <w:gridCol w:w="711"/>
        <w:gridCol w:w="2077"/>
      </w:tblGrid>
      <w:tr w:rsidR="00A50BE0" w:rsidTr="00A50BE0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40"/>
                <w:szCs w:val="36"/>
                <w:lang w:eastAsia="cs-CZ"/>
              </w:rPr>
              <w:t>VYSVĚTLENÍ ZADÁVACÍ DOKUMENTACE Č. 4</w:t>
            </w:r>
          </w:p>
        </w:tc>
      </w:tr>
      <w:tr w:rsidR="00A50BE0" w:rsidTr="00A50BE0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A50BE0" w:rsidTr="00A50BE0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>
              <w:rPr>
                <w:rFonts w:eastAsia="Times New Roman" w:cs="Calibri"/>
                <w:b/>
                <w:sz w:val="40"/>
                <w:szCs w:val="26"/>
                <w:lang w:eastAsia="cs-CZ"/>
              </w:rPr>
              <w:t>Centrální řešení pro popisování, správu, distribuci a archivaci obrazové zdravotnické dokumentace (CŘ PACS)</w:t>
            </w:r>
            <w:r>
              <w:rPr>
                <w:rFonts w:eastAsia="Times New Roman" w:cs="Calibri"/>
                <w:b/>
                <w:sz w:val="24"/>
                <w:szCs w:val="26"/>
                <w:lang w:eastAsia="cs-CZ"/>
              </w:rPr>
              <w:t xml:space="preserve"> </w:t>
            </w:r>
          </w:p>
        </w:tc>
      </w:tr>
      <w:tr w:rsidR="00A50BE0" w:rsidTr="00A50BE0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CN/194/CN/24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1136/25/CN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P24V00000608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E-ZAK: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Style w:val="Internetovodkaz"/>
                <w:rFonts w:eastAsia="Times New Roman" w:cs="Times New Roman"/>
                <w:b/>
                <w:sz w:val="20"/>
                <w:lang w:eastAsia="cs-CZ"/>
              </w:rPr>
              <w:t>https://ezak.cnpk.cz/contract_display_11645.html</w:t>
            </w:r>
          </w:p>
        </w:tc>
      </w:tr>
      <w:tr w:rsidR="00A50BE0" w:rsidTr="00A50BE0">
        <w:trPr>
          <w:trHeight w:val="58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</w:pPr>
            <w:hyperlink r:id="rId7">
              <w:r>
                <w:rPr>
                  <w:rStyle w:val="Internetovodkaz"/>
                  <w:rFonts w:eastAsia="Times New Roman" w:cs="Times New Roman"/>
                  <w:b/>
                  <w:sz w:val="20"/>
                  <w:lang w:eastAsia="cs-CZ"/>
                </w:rPr>
                <w:t>https://vvz.nipez.cz/vyhledat-formular/2116c0c8-d813-4dbd-8f3d-03c5c24433c7</w:t>
              </w:r>
            </w:hyperlink>
            <w:r>
              <w:rPr>
                <w:rFonts w:eastAsia="Times New Roman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50BE0" w:rsidTr="00A50BE0">
        <w:trPr>
          <w:trHeight w:val="58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</w:pPr>
            <w:hyperlink r:id="rId8">
              <w:r>
                <w:rPr>
                  <w:rStyle w:val="Internetovodkaz"/>
                  <w:rFonts w:eastAsia="Times New Roman" w:cs="Times New Roman"/>
                  <w:b/>
                  <w:sz w:val="20"/>
                  <w:lang w:eastAsia="cs-CZ"/>
                </w:rPr>
                <w:t>https://ted.europa.eu/cs/notice/-/detail/43496-2025</w:t>
              </w:r>
            </w:hyperlink>
            <w:r>
              <w:rPr>
                <w:rFonts w:eastAsia="Times New Roman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26360527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Ing. Zdeněk Švanda, předseda představenstva</w:t>
            </w:r>
          </w:p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MUDr. Petr Hubáček, MBA, LL.M., místopředseda představenstva</w:t>
            </w:r>
          </w:p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Ing. Ondřej Provalil, MBA, člen představenstva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Romana Haladová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9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50BE0" w:rsidTr="00A50BE0">
        <w:trPr>
          <w:trHeight w:val="28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A50BE0" w:rsidRDefault="00A50BE0" w:rsidP="00A50B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</w:pPr>
            <w:hyperlink r:id="rId9">
              <w:r>
                <w:rPr>
                  <w:rStyle w:val="Internetovodkaz"/>
                  <w:rFonts w:eastAsia="Times New Roman" w:cs="Times New Roman"/>
                  <w:sz w:val="20"/>
                  <w:lang w:eastAsia="cs-CZ"/>
                </w:rPr>
                <w:t>richard.volin@cnpk.cz</w:t>
              </w:r>
            </w:hyperlink>
            <w:r>
              <w:rPr>
                <w:rFonts w:eastAsia="Times New Roman" w:cs="Times New Roman"/>
                <w:sz w:val="20"/>
                <w:lang w:eastAsia="cs-CZ"/>
              </w:rPr>
              <w:t xml:space="preserve"> </w:t>
            </w:r>
          </w:p>
        </w:tc>
      </w:tr>
      <w:tr w:rsidR="00A50BE0" w:rsidTr="00A50BE0">
        <w:trPr>
          <w:trHeight w:val="284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otevřené</w:t>
            </w:r>
          </w:p>
        </w:tc>
      </w:tr>
      <w:tr w:rsidR="00A50BE0" w:rsidTr="00A50BE0">
        <w:trPr>
          <w:trHeight w:hRule="exact" w:val="344"/>
        </w:trPr>
        <w:tc>
          <w:tcPr>
            <w:tcW w:w="2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9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50BE0" w:rsidRDefault="00A50BE0" w:rsidP="00A50BE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---</w:t>
            </w:r>
          </w:p>
        </w:tc>
      </w:tr>
    </w:tbl>
    <w:p w:rsidR="002D61B4" w:rsidRPr="00A50BE0" w:rsidRDefault="002D61B4">
      <w:pPr>
        <w:rPr>
          <w:rStyle w:val="ListLabel1"/>
        </w:rPr>
      </w:pPr>
    </w:p>
    <w:p w:rsidR="002D61B4" w:rsidRDefault="00A50BE0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Zadavatel poskytuje prostřednictvím administrátora v souladu s § 98 a § 99 zákona č. 134/2016 Sb., o </w:t>
      </w:r>
      <w:r>
        <w:rPr>
          <w:rFonts w:eastAsia="Times New Roman" w:cstheme="minorHAnsi"/>
          <w:lang w:eastAsia="cs-CZ"/>
        </w:rPr>
        <w:t>zadávání veřejných zakázek, v platném znění (dále „ZZVZ“), vysvětlení zadávací dokumentace k výše uvedené veřejné zakázce.</w:t>
      </w:r>
    </w:p>
    <w:p w:rsidR="002D61B4" w:rsidRDefault="00A50BE0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Dne 24. 3. 2025 byla doručena žádost o vysvětlení zadávací dokumentace, na kterou zadavatel tímto odpovídá.</w:t>
      </w:r>
    </w:p>
    <w:p w:rsidR="002D61B4" w:rsidRDefault="002D61B4">
      <w:pPr>
        <w:rPr>
          <w:sz w:val="16"/>
          <w:szCs w:val="16"/>
          <w:lang w:eastAsia="cs-CZ"/>
        </w:rPr>
      </w:pPr>
    </w:p>
    <w:p w:rsidR="002D61B4" w:rsidRDefault="00A50BE0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Dotazy: </w:t>
      </w:r>
    </w:p>
    <w:p w:rsidR="002D61B4" w:rsidRDefault="00A50BE0">
      <w:pPr>
        <w:spacing w:before="120"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 xml:space="preserve">„Zadavatel ve </w:t>
      </w:r>
      <w:r>
        <w:rPr>
          <w:rFonts w:eastAsia="Calibri" w:cs="Times New Roman"/>
        </w:rPr>
        <w:t>vysvětlení zadávací dokumentace č. 3 nahradil podmínky závazného testování centrálního řešení PACS požadavkem na poskytnutí součinnosti v následujícím znění:</w:t>
      </w:r>
    </w:p>
    <w:p w:rsidR="002D61B4" w:rsidRDefault="00A50BE0">
      <w:pPr>
        <w:spacing w:before="120" w:after="0" w:line="240" w:lineRule="auto"/>
        <w:jc w:val="both"/>
        <w:rPr>
          <w:rFonts w:ascii="Calibri" w:eastAsia="Calibri" w:hAnsi="Calibri" w:cs="Times New Roman"/>
          <w:lang w:eastAsia="cs-CZ"/>
        </w:rPr>
      </w:pPr>
      <w:r>
        <w:rPr>
          <w:rFonts w:eastAsia="Calibri" w:cs="Times New Roman"/>
          <w:lang w:eastAsia="cs-CZ"/>
        </w:rPr>
        <w:t>„</w:t>
      </w:r>
      <w:r>
        <w:rPr>
          <w:rFonts w:eastAsia="Calibri" w:cs="Times New Roman"/>
          <w:b/>
          <w:lang w:eastAsia="cs-CZ"/>
        </w:rPr>
        <w:t>Zadavatel upozorňuje dodavatele, že je ve fázi po otevření nabídek až do fáze před uzavřením smlo</w:t>
      </w:r>
      <w:r>
        <w:rPr>
          <w:rFonts w:eastAsia="Calibri" w:cs="Times New Roman"/>
          <w:b/>
          <w:lang w:eastAsia="cs-CZ"/>
        </w:rPr>
        <w:t>uvy může vyzvat jakéhokoli účastníka k testování nabízeného nebo jím používaného CŘ PACS. Bude se jednat o formální nezávazné testování, jehož účelem je předvedení funkčnosti CŘ PACS, které používá dodavatel. V případě souhlasu dodavatele s testováním si z</w:t>
      </w:r>
      <w:r>
        <w:rPr>
          <w:rFonts w:eastAsia="Calibri" w:cs="Times New Roman"/>
          <w:b/>
          <w:lang w:eastAsia="cs-CZ"/>
        </w:rPr>
        <w:t>adavatel a dodavatel dohodnou konkrétní podmínky a termín, kdy bude CŘ PACS otestován.</w:t>
      </w:r>
      <w:r>
        <w:rPr>
          <w:rFonts w:eastAsia="Calibri" w:cs="Times New Roman"/>
          <w:lang w:eastAsia="cs-CZ"/>
        </w:rPr>
        <w:t>“.</w:t>
      </w:r>
    </w:p>
    <w:p w:rsidR="00A50BE0" w:rsidRPr="00A50BE0" w:rsidRDefault="00A50BE0" w:rsidP="00A50BE0">
      <w:pPr>
        <w:rPr>
          <w:rStyle w:val="ListLabel1"/>
        </w:rPr>
      </w:pPr>
      <w:r>
        <w:t xml:space="preserve"> </w:t>
      </w:r>
    </w:p>
    <w:p w:rsidR="002D61B4" w:rsidRPr="00A50BE0" w:rsidRDefault="00A50BE0" w:rsidP="00A50BE0">
      <w:r>
        <w:rPr>
          <w:rFonts w:eastAsia="Calibri" w:cs="Times New Roman"/>
          <w:b/>
          <w:bCs/>
          <w:kern w:val="2"/>
          <w14:ligatures w14:val="standardContextual"/>
        </w:rPr>
        <w:t>Dotaz č. 1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lastRenderedPageBreak/>
        <w:t>Formulace “</w:t>
      </w:r>
      <w:r>
        <w:rPr>
          <w:rFonts w:eastAsia="Calibri" w:cs="Times New Roman"/>
          <w:b/>
          <w:kern w:val="2"/>
          <w:lang w:eastAsia="cs-CZ"/>
          <w14:ligatures w14:val="standardContextual"/>
        </w:rPr>
        <w:t xml:space="preserve"> si zadavatel a dodavatel dohodnou konkrétní podmínky a termín, kdy bude CŘ PACS otestován</w:t>
      </w:r>
      <w:r>
        <w:rPr>
          <w:rFonts w:eastAsia="Calibri" w:cs="Times New Roman"/>
          <w:kern w:val="2"/>
          <w14:ligatures w14:val="standardContextual"/>
        </w:rPr>
        <w:t>“ vytváří prostor pro různé podmínky testování různým</w:t>
      </w:r>
      <w:r>
        <w:rPr>
          <w:rFonts w:eastAsia="Calibri" w:cs="Times New Roman"/>
          <w:kern w:val="2"/>
          <w14:ligatures w14:val="standardContextual"/>
        </w:rPr>
        <w:t>i uchazeči. Jak chce v takovém případě Zadavatel zajistit rovné podmínky všem uchazečům?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 xml:space="preserve">: V předchozím Vysvětlení zadávací dokumentace č. 3 ze dne 28. 2. 2025 vyšel zadavatel vstříc uchazeči a vypustil čl. 7.3 Zadávací dokumentace o </w:t>
      </w:r>
      <w:r>
        <w:rPr>
          <w:rFonts w:eastAsia="Calibri" w:cs="Times New Roman"/>
          <w:b/>
          <w:kern w:val="2"/>
          <w14:ligatures w14:val="standardContextual"/>
        </w:rPr>
        <w:t>záva</w:t>
      </w:r>
      <w:r>
        <w:rPr>
          <w:rFonts w:eastAsia="Calibri" w:cs="Times New Roman"/>
          <w:b/>
          <w:kern w:val="2"/>
          <w14:ligatures w14:val="standardContextual"/>
        </w:rPr>
        <w:t>zném testování</w:t>
      </w:r>
      <w:r>
        <w:rPr>
          <w:rFonts w:eastAsia="Calibri" w:cs="Times New Roman"/>
          <w:kern w:val="2"/>
          <w14:ligatures w14:val="standardContextual"/>
        </w:rPr>
        <w:t xml:space="preserve"> nabízeného CŘ PACS. Současně byl doplněn odstavec do čl. 9.7 ZD, kde je vyhrazena možnost požádat o nezávazné testování. Jedná se o předvedení funkčnosti nabízeného CŘ PACS.</w:t>
      </w:r>
    </w:p>
    <w:p w:rsidR="00A50BE0" w:rsidRDefault="00A50BE0">
      <w:pPr>
        <w:spacing w:line="276" w:lineRule="auto"/>
        <w:rPr>
          <w:rFonts w:eastAsia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2</w:t>
      </w:r>
    </w:p>
    <w:p w:rsidR="002D61B4" w:rsidRDefault="00A50BE0">
      <w:pPr>
        <w:spacing w:line="276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Může Zadavatel blíže upřesnit/vysvětlit termín “</w:t>
      </w:r>
      <w:r>
        <w:rPr>
          <w:rFonts w:eastAsia="Calibri" w:cs="Times New Roman"/>
          <w:b/>
          <w:kern w:val="2"/>
          <w:lang w:eastAsia="cs-CZ"/>
          <w14:ligatures w14:val="standardContextual"/>
        </w:rPr>
        <w:t xml:space="preserve"> formální nezávazné testování</w:t>
      </w:r>
      <w:r>
        <w:rPr>
          <w:rFonts w:eastAsia="Calibri" w:cs="Times New Roman"/>
          <w:kern w:val="2"/>
          <w14:ligatures w14:val="standardContextual"/>
        </w:rPr>
        <w:t>“? Např.:</w:t>
      </w:r>
    </w:p>
    <w:p w:rsidR="002D61B4" w:rsidRDefault="00A50BE0">
      <w:pPr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Jakým způsobem bude výsledek testování posuzován?</w:t>
      </w:r>
    </w:p>
    <w:p w:rsidR="002D61B4" w:rsidRDefault="00A50BE0">
      <w:pPr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Jaké budou sledované indikátory testování?</w:t>
      </w:r>
    </w:p>
    <w:p w:rsidR="002D61B4" w:rsidRDefault="00A50BE0">
      <w:pPr>
        <w:numPr>
          <w:ilvl w:val="0"/>
          <w:numId w:val="5"/>
        </w:num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Jaké důsledky pro uchazeče z testování plynou?</w:t>
      </w:r>
    </w:p>
    <w:p w:rsidR="002D61B4" w:rsidRDefault="002D61B4">
      <w:pPr>
        <w:spacing w:line="276" w:lineRule="auto"/>
        <w:contextualSpacing/>
        <w:rPr>
          <w:rFonts w:ascii="Calibri" w:eastAsia="Calibri" w:hAnsi="Calibri" w:cs="Times New Roman"/>
          <w:b/>
          <w:kern w:val="2"/>
          <w:highlight w:val="yellow"/>
          <w14:ligatures w14:val="standardContextual"/>
        </w:rPr>
      </w:pPr>
    </w:p>
    <w:p w:rsidR="002D61B4" w:rsidRDefault="00A50BE0">
      <w:p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 xml:space="preserve">: Na rozdíl od předchozího závazného testování CŘ PACS, </w:t>
      </w:r>
      <w:r>
        <w:rPr>
          <w:rFonts w:eastAsia="Calibri" w:cs="Times New Roman"/>
          <w:kern w:val="2"/>
          <w14:ligatures w14:val="standardContextual"/>
        </w:rPr>
        <w:t>které bylo ze Zadávací dokumentace vypuštěno Vysvětlením zadávací dokumentace č. 3, zadavatel si vyhradil v čl. 9.7 ZD, že je oprávněn požádat jakéhokoli uchazeče o formální nezávazné testování nabízeného CŘ PACS. Testování znamená v tomto případě předvede</w:t>
      </w:r>
      <w:r>
        <w:rPr>
          <w:rFonts w:eastAsia="Calibri" w:cs="Times New Roman"/>
          <w:kern w:val="2"/>
          <w14:ligatures w14:val="standardContextual"/>
        </w:rPr>
        <w:t>ní funkčnosti nabízeného CŘ PACS.</w:t>
      </w:r>
    </w:p>
    <w:p w:rsidR="002D61B4" w:rsidRDefault="00A50BE0">
      <w:p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Se žádostí zadavatele o provedení předvedení nemusí uchazeč souhlasit. Odmítne-li uchazeč tuto žádost, předvedení neproběhne (není současně nijak sankcionováno).</w:t>
      </w:r>
    </w:p>
    <w:p w:rsidR="002D61B4" w:rsidRDefault="00A50BE0">
      <w:p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 xml:space="preserve">Účelem této výhrady je, aby měl zadavatel konkrétní reálnou </w:t>
      </w:r>
      <w:r>
        <w:rPr>
          <w:rFonts w:eastAsia="Calibri" w:cs="Times New Roman"/>
          <w:kern w:val="2"/>
          <w14:ligatures w14:val="standardContextual"/>
        </w:rPr>
        <w:t>představu o funkčnosti nabízeného CŘ PACS. Průběh předvedení bude dohodnut mezi zadavatelem a vyzvaným uchazečem. Pravidla předvedení, místo a způsob si určí uchazeč. Zájmem zadavatele je, aby jeho zástupci viděli funkčnost nabízeného CŘ PACS.</w:t>
      </w:r>
    </w:p>
    <w:p w:rsidR="002D61B4" w:rsidRDefault="00A50BE0">
      <w:p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Pro uchazeče</w:t>
      </w:r>
      <w:r>
        <w:rPr>
          <w:rFonts w:eastAsia="Calibri" w:cs="Times New Roman"/>
          <w:kern w:val="2"/>
          <w14:ligatures w14:val="standardContextual"/>
        </w:rPr>
        <w:t xml:space="preserve"> z předvedení neplynou žádné negativní důsledky. O předvedení bude proveden stručný záznam bez důsledků na posouzení nabídky uchazeče.</w:t>
      </w:r>
    </w:p>
    <w:p w:rsidR="002D61B4" w:rsidRDefault="002D61B4">
      <w:pPr>
        <w:spacing w:line="276" w:lineRule="auto"/>
        <w:contextualSpacing/>
        <w:rPr>
          <w:rFonts w:ascii="Calibri" w:eastAsia="Calibri" w:hAnsi="Calibri" w:cs="Times New Roman"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3</w:t>
      </w:r>
    </w:p>
    <w:p w:rsidR="002D61B4" w:rsidRDefault="00A50BE0">
      <w:pPr>
        <w:spacing w:line="276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Zadavatel ve výše uvedeném požadavku uvádí:</w:t>
      </w:r>
    </w:p>
    <w:p w:rsidR="002D61B4" w:rsidRDefault="00A50BE0">
      <w:pPr>
        <w:spacing w:line="276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“</w:t>
      </w:r>
      <w:r>
        <w:rPr>
          <w:rFonts w:eastAsia="Calibri" w:cs="Times New Roman"/>
          <w:b/>
          <w:kern w:val="2"/>
          <w:lang w:eastAsia="cs-CZ"/>
          <w14:ligatures w14:val="standardContextual"/>
        </w:rPr>
        <w:t xml:space="preserve"> předvedení funkčnosti CŘ PACS, které používá dodavatel</w:t>
      </w:r>
      <w:r>
        <w:rPr>
          <w:rFonts w:eastAsia="Calibri" w:cs="Times New Roman"/>
          <w:kern w:val="2"/>
          <w14:ligatures w14:val="standardContextual"/>
        </w:rPr>
        <w:t>“.</w:t>
      </w:r>
    </w:p>
    <w:p w:rsidR="002D61B4" w:rsidRDefault="00A50BE0">
      <w:pPr>
        <w:spacing w:line="276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Dodava</w:t>
      </w:r>
      <w:r>
        <w:rPr>
          <w:rFonts w:eastAsia="Calibri" w:cs="Times New Roman"/>
          <w:kern w:val="2"/>
          <w14:ligatures w14:val="standardContextual"/>
        </w:rPr>
        <w:t>tel není provozovatelem zdravotnického zařízení a nepoužívá žádné CŘ PACS, může zadavatel upřesnit, co je uvedeným požadavkem míněno?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>: Brání-li dodavateli překážky, že není schopen předvést nabízené CŘ PACS v reálném provozu, sdělí to po</w:t>
      </w:r>
      <w:r>
        <w:rPr>
          <w:rFonts w:eastAsia="Calibri" w:cs="Times New Roman"/>
          <w:kern w:val="2"/>
          <w14:ligatures w14:val="standardContextual"/>
        </w:rPr>
        <w:t xml:space="preserve"> zadavateli a předvedení může proběhnout na prostředcích uchazeče. Předvedení funkčnosti nabízeného CŘ PACS nemusí být provedeno nad provozními/produkčními daty.</w:t>
      </w:r>
    </w:p>
    <w:p w:rsidR="00A50BE0" w:rsidRDefault="00A50BE0">
      <w:pPr>
        <w:spacing w:line="276" w:lineRule="auto"/>
        <w:rPr>
          <w:rFonts w:eastAsia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4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Zadavatel nikde v zadávací dokumentaci blíže nespecifikuje, kde má testování proběh</w:t>
      </w:r>
      <w:r>
        <w:rPr>
          <w:rFonts w:eastAsia="Calibri" w:cs="Times New Roman"/>
          <w:kern w:val="2"/>
          <w14:ligatures w14:val="standardContextual"/>
        </w:rPr>
        <w:t>nout. Je tedy testováním myšleno testování na referenčním pracovišti uchazeče, nebo se od uchazeče vyžaduje instalace takového řešení v prostředí Zadavatele, tedy v jeho klinickém provozu a nad jeho daty?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>: S odkazem na odpověď na Dotaz č</w:t>
      </w:r>
      <w:r>
        <w:rPr>
          <w:rFonts w:eastAsia="Calibri" w:cs="Times New Roman"/>
          <w:kern w:val="2"/>
          <w14:ligatures w14:val="standardContextual"/>
        </w:rPr>
        <w:t xml:space="preserve">. 2 o místě předvedení rozhodne vyzvaný uchazeč. Obě zmíněné varianty jsou možné, zadavatel přistoupí na návrh uchazeče. Je možná také varianta, kdy uchazeč provede </w:t>
      </w:r>
      <w:r>
        <w:rPr>
          <w:rFonts w:eastAsia="Calibri" w:cs="Times New Roman"/>
          <w:kern w:val="2"/>
          <w14:ligatures w14:val="standardContextual"/>
        </w:rPr>
        <w:lastRenderedPageBreak/>
        <w:t>předvedení na vlastních prostředcích. Předvedení funkčnosti nabízeného CŘ PACS nemusí být p</w:t>
      </w:r>
      <w:r>
        <w:rPr>
          <w:rFonts w:eastAsia="Calibri" w:cs="Times New Roman"/>
          <w:kern w:val="2"/>
          <w14:ligatures w14:val="standardContextual"/>
        </w:rPr>
        <w:t>rovedeno nad provozními/produkčními daty. Jak je uvedeno výše, zadavatel zamýšlí vidět funkčnost  CŘ PACS.</w:t>
      </w:r>
    </w:p>
    <w:p w:rsidR="002D61B4" w:rsidRDefault="002D61B4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5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Pokud Zadavatel svůj požadavek myslí tak, že má Uchazeč pro účely otestování systému zajistit přístup pracovníků Zadavatele do jiného zdra</w:t>
      </w:r>
      <w:r>
        <w:rPr>
          <w:rFonts w:eastAsia="Calibri" w:cs="Times New Roman"/>
          <w:kern w:val="2"/>
          <w14:ligatures w14:val="standardContextual"/>
        </w:rPr>
        <w:t>votnického zařízení, kde je takový systém provozován: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Dodavatel není provozovatelem zdravotnického zařízení a není tedy v jeho moci takovýto požadavek garantovaně zajistit. Referenční zdravotnické zařízení může testování zejména v tak významném rozsahu odm</w:t>
      </w:r>
      <w:r>
        <w:rPr>
          <w:rFonts w:eastAsia="Calibri" w:cs="Times New Roman"/>
          <w:kern w:val="2"/>
          <w14:ligatures w14:val="standardContextual"/>
        </w:rPr>
        <w:t xml:space="preserve">ítnout. </w:t>
      </w:r>
    </w:p>
    <w:p w:rsidR="002D61B4" w:rsidRDefault="00A50BE0">
      <w:pPr>
        <w:numPr>
          <w:ilvl w:val="1"/>
          <w:numId w:val="2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 chce v takovém případě Zadavatel zajistit rovné podmínky všem uchazečům?</w:t>
      </w:r>
    </w:p>
    <w:p w:rsidR="002D61B4" w:rsidRDefault="00A50BE0">
      <w:pPr>
        <w:numPr>
          <w:ilvl w:val="1"/>
          <w:numId w:val="2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Jakým způsobem má být zajištěn soulad Zadavatelem požadovaného postupu se Zákonem o zadávání veřejných zakázek?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 xml:space="preserve">Referenční zdravotnické zařízení by muselo v běžné provozní době, kdy poskytuje zdravotní péči pacientům, uvolnit pracovní místo a umožnit přístup cizím osobám ke své kritické infrastruktuře. </w:t>
      </w:r>
    </w:p>
    <w:p w:rsidR="002D61B4" w:rsidRDefault="00A50BE0">
      <w:pPr>
        <w:numPr>
          <w:ilvl w:val="0"/>
          <w:numId w:val="3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 xml:space="preserve">Jakým způsobem má být zajištěn soulad Zadavatelem požadovaného </w:t>
      </w:r>
      <w:r>
        <w:rPr>
          <w:rFonts w:eastAsia="Calibri" w:cs="Times New Roman"/>
          <w:kern w:val="2"/>
          <w14:ligatures w14:val="standardContextual"/>
        </w:rPr>
        <w:t xml:space="preserve">postupu se Zákonem o kybernetické bezpečnosti? </w:t>
      </w:r>
    </w:p>
    <w:p w:rsidR="002D61B4" w:rsidRDefault="00A50BE0">
      <w:pPr>
        <w:numPr>
          <w:ilvl w:val="0"/>
          <w:numId w:val="3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 bude Zadavatel postupovat v případě, že pracoviště bude třeba použít pro neodkladné poskytnutí zdravotní péče a nebude tedy možné testování provést?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Zadavatel v zadávací dokumentaci nespecifikuje počet an</w:t>
      </w:r>
      <w:r>
        <w:rPr>
          <w:rFonts w:eastAsia="Calibri" w:cs="Times New Roman"/>
          <w:kern w:val="2"/>
          <w14:ligatures w14:val="standardContextual"/>
        </w:rPr>
        <w:t>i identifikaci osob, které by v rámci testování měly přístup ke zdravotnické dokumentaci a citlivým údajům pacientů. Testování přitom má být prováděno v běžném klinickém provozu, tedy nad reálnými daty pacientů. Přístup ke zdravotnické dokumentaci pacientů</w:t>
      </w:r>
      <w:r>
        <w:rPr>
          <w:rFonts w:eastAsia="Calibri" w:cs="Times New Roman"/>
          <w:kern w:val="2"/>
          <w14:ligatures w14:val="standardContextual"/>
        </w:rPr>
        <w:t xml:space="preserve"> přitom mají mít pouze osoby, které se podílejí na léčbě pacientů. Přístup k pacientským datům tedy podléhá zákonu č. 240/2024 Sb., o zdravotních službách, a nařízení GDPR (č. 2016/679) a není tedy zajištěno, že testování nebude porušovat ochranu osobních </w:t>
      </w:r>
      <w:r>
        <w:rPr>
          <w:rFonts w:eastAsia="Calibri" w:cs="Times New Roman"/>
          <w:kern w:val="2"/>
          <w14:ligatures w14:val="standardContextual"/>
        </w:rPr>
        <w:t>údajů pacientů. Jakým způsobem má být zajištěn soulad Zadavatelem požadovaného postupu s uvedenou legislativou?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V zadávací dokumentaci nejsou uvedena dostatečná opatření na ochranu osobních údajů, za kterých by bylo možné takové testování provést.</w:t>
      </w:r>
    </w:p>
    <w:p w:rsidR="002D61B4" w:rsidRDefault="00A50BE0">
      <w:pPr>
        <w:numPr>
          <w:ilvl w:val="1"/>
          <w:numId w:val="2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 budo</w:t>
      </w:r>
      <w:r>
        <w:rPr>
          <w:rFonts w:eastAsia="Calibri" w:cs="Times New Roman"/>
          <w:kern w:val="2"/>
          <w14:ligatures w14:val="standardContextual"/>
        </w:rPr>
        <w:t>u data chráněna během testování?</w:t>
      </w:r>
    </w:p>
    <w:p w:rsidR="002D61B4" w:rsidRDefault="00A50BE0">
      <w:pPr>
        <w:numPr>
          <w:ilvl w:val="1"/>
          <w:numId w:val="2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Jak bude zajištěno, že testování bude probíhat na anonymizovaných nebo testovacích datech?</w:t>
      </w:r>
    </w:p>
    <w:p w:rsidR="002D61B4" w:rsidRDefault="00A50BE0">
      <w:pPr>
        <w:numPr>
          <w:ilvl w:val="1"/>
          <w:numId w:val="2"/>
        </w:numPr>
        <w:spacing w:line="276" w:lineRule="auto"/>
        <w:ind w:left="1701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Bude vyžadováno uzavření dohody o mlčenlivosti (NDA) se Zadavatelem, uchazeči nebo třetími stranami, které se testování účastní?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Vzh</w:t>
      </w:r>
      <w:r>
        <w:rPr>
          <w:rFonts w:eastAsia="Calibri" w:cs="Times New Roman"/>
          <w:kern w:val="2"/>
          <w14:ligatures w14:val="standardContextual"/>
        </w:rPr>
        <w:t>ledem k tomu, že testování bude probíhat v jiných podmínkách, které nelze porovnávat s prostředím Zadavatele, výsledky takovéhoto testování mohou být zavádějící a dle našeho názoru je takovéto testování neprůkazné. Je si této skutečnosti Zadavatel vědom?</w:t>
      </w:r>
    </w:p>
    <w:p w:rsidR="002D61B4" w:rsidRDefault="00A50BE0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 xml:space="preserve">Požadované testování bude probíhat v naprosto odlišných podmínkách z pohledu výkonnosti HW infrastruktury, sítí, apod. V různých zdravotnických zařízeních je navíc celý systém nakonfigurován odlišně, jelikož musí vždy reflektovat různé požadavky uživatelů </w:t>
      </w:r>
      <w:r>
        <w:rPr>
          <w:rFonts w:eastAsia="Calibri" w:cs="Times New Roman"/>
          <w:kern w:val="2"/>
          <w14:ligatures w14:val="standardContextual"/>
        </w:rPr>
        <w:t>a zadání daného zdravotnického zařízení, což nemusí být v souladu s požadavky Zadavatele. Jak chce v takovém případě Zadavatel zajistit rovné podmínky všem uchazečům?</w:t>
      </w:r>
    </w:p>
    <w:p w:rsidR="002D61B4" w:rsidRDefault="002D61B4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>: Zadavatel tímto odkazuje na svoje odpovědi k dotazům 1 až 4 výše. Je</w:t>
      </w:r>
      <w:r>
        <w:rPr>
          <w:rFonts w:eastAsia="Calibri" w:cs="Times New Roman"/>
          <w:kern w:val="2"/>
          <w14:ligatures w14:val="standardContextual"/>
        </w:rPr>
        <w:t xml:space="preserve"> na uchazeči, zda žádosti o předvedení vyhoví. </w:t>
      </w:r>
    </w:p>
    <w:p w:rsidR="00A50BE0" w:rsidRDefault="00A50BE0">
      <w:pPr>
        <w:spacing w:line="276" w:lineRule="auto"/>
        <w:rPr>
          <w:rFonts w:eastAsia="Calibri" w:cs="Times New Roman"/>
          <w:b/>
          <w:bCs/>
          <w:kern w:val="2"/>
          <w14:ligatures w14:val="standardContextual"/>
        </w:rPr>
      </w:pPr>
    </w:p>
    <w:p w:rsidR="00A50BE0" w:rsidRDefault="00A50BE0">
      <w:pPr>
        <w:spacing w:line="276" w:lineRule="auto"/>
        <w:rPr>
          <w:rFonts w:eastAsia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6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lastRenderedPageBreak/>
        <w:t>Pokud Zadavatel svůj požadavek myslí tak, že od uchazeče vyžaduje instalaci takového řešení v prostředí Zadavatele, tedy v jeho klinickém provozu a nad jeho daty:</w:t>
      </w:r>
    </w:p>
    <w:p w:rsidR="002D61B4" w:rsidRDefault="00A50BE0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Poskytne Zadavatel potřebnou infra</w:t>
      </w:r>
      <w:r>
        <w:rPr>
          <w:rFonts w:eastAsia="Calibri" w:cs="Times New Roman"/>
          <w:kern w:val="2"/>
          <w14:ligatures w14:val="standardContextual"/>
        </w:rPr>
        <w:t xml:space="preserve">strukturu a prostředí, které bude pro všechny účastníky stejné, </w:t>
      </w:r>
      <w:r>
        <w:rPr>
          <w:rFonts w:eastAsia="Calibri" w:cs="Times New Roman"/>
          <w:kern w:val="2"/>
          <w14:ligatures w14:val="standardContextual"/>
        </w:rPr>
        <w:br/>
      </w:r>
      <w:r>
        <w:rPr>
          <w:rFonts w:eastAsia="Calibri" w:cs="Times New Roman"/>
          <w:kern w:val="2"/>
          <w14:ligatures w14:val="standardContextual"/>
        </w:rPr>
        <w:t xml:space="preserve">a dostatek času pro instalaci systému Dodavatele, aby mohlo dojít k předvedení požadované funkcionality? </w:t>
      </w:r>
    </w:p>
    <w:p w:rsidR="002D61B4" w:rsidRDefault="00A50BE0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Pro předvedení CŘ PACS je potřeba provést kompletní implementaci celého CŘ PACS včetně</w:t>
      </w:r>
      <w:r>
        <w:rPr>
          <w:rFonts w:eastAsia="Calibri" w:cs="Times New Roman"/>
          <w:kern w:val="2"/>
          <w14:ligatures w14:val="standardContextual"/>
        </w:rPr>
        <w:t xml:space="preserve"> integrací na okolní přístroje a systémy. Zajistí Zadavatel případnou součinnost třetích stran?</w:t>
      </w:r>
    </w:p>
    <w:p w:rsidR="002D61B4" w:rsidRDefault="00A50BE0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Jelikož v rámci implementace systému pro testování v prostředí Zadavatele může uchazeč přít do styku s citlivými údaji pacientů, bude vyžadováno uzavření dohody</w:t>
      </w:r>
      <w:r>
        <w:rPr>
          <w:rFonts w:eastAsia="Calibri" w:cs="Times New Roman"/>
          <w:kern w:val="2"/>
          <w14:ligatures w14:val="standardContextual"/>
        </w:rPr>
        <w:t xml:space="preserve"> o mlčenlivosti (NDA) s uchazeči, nebo třetími stranami, které se testování účastní? Může Zadavatel dát uchazečům k dispozici patřičné dohody, které po něm budou vyžadovány?</w:t>
      </w:r>
    </w:p>
    <w:p w:rsidR="002D61B4" w:rsidRDefault="002D61B4">
      <w:pPr>
        <w:spacing w:line="276" w:lineRule="auto"/>
        <w:rPr>
          <w:rFonts w:ascii="Calibri" w:eastAsia="Calibri" w:hAnsi="Calibri" w:cs="Times New Roman"/>
          <w:b/>
          <w:kern w:val="2"/>
          <w:highlight w:val="yellow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>: Zadavatel tímto odkazuje na svoje odpovědi k dotazům 1 až 4 v</w:t>
      </w:r>
      <w:r>
        <w:rPr>
          <w:rFonts w:eastAsia="Calibri" w:cs="Times New Roman"/>
          <w:kern w:val="2"/>
          <w14:ligatures w14:val="standardContextual"/>
        </w:rPr>
        <w:t>ýše. Je na uchazeči, zda žádosti o předvedení vyhoví.  Jak bylo výše uvedeno, předvedení je možné provést na prostředcích uchazeče a nemusí být provedeno nad produkčními/provozními daty.</w:t>
      </w:r>
    </w:p>
    <w:p w:rsidR="002D61B4" w:rsidRDefault="002D61B4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Dotaz č. 7</w:t>
      </w:r>
    </w:p>
    <w:p w:rsidR="002D61B4" w:rsidRDefault="00A50BE0" w:rsidP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 xml:space="preserve">Požadavek zadavatele na testování systému, jak je </w:t>
      </w:r>
      <w:r>
        <w:rPr>
          <w:rFonts w:eastAsia="Calibri" w:cs="Times New Roman"/>
          <w:kern w:val="2"/>
          <w14:ligatures w14:val="standardContextual"/>
        </w:rPr>
        <w:t>specifikován v zadávací dokumentaci, naráží na nedostatečnou transparentnost podmínek testování:</w:t>
      </w:r>
    </w:p>
    <w:p w:rsidR="002D61B4" w:rsidRDefault="00A50BE0" w:rsidP="00A50BE0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Může Zadavatel blíže specifikovat formát testování, metodiky hodnocení, a objektivní kritéria pro posouzení funkčnosti testovaného CŘ PACS?</w:t>
      </w:r>
    </w:p>
    <w:p w:rsidR="002D61B4" w:rsidRDefault="00A50BE0" w:rsidP="00A50BE0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Může Zadavatel stan</w:t>
      </w:r>
      <w:r>
        <w:rPr>
          <w:rFonts w:eastAsia="Calibri" w:cs="Times New Roman"/>
          <w:kern w:val="2"/>
          <w14:ligatures w14:val="standardContextual"/>
        </w:rPr>
        <w:t>ovit jasné podmínky pro organizaci testování a dostupnost testovacího prostředí pro všechny uchazeče za stejných podmínek, aby nedocházelo k diskriminaci uchazečů?</w:t>
      </w:r>
    </w:p>
    <w:p w:rsidR="002D61B4" w:rsidRDefault="002D61B4">
      <w:pPr>
        <w:spacing w:line="276" w:lineRule="auto"/>
        <w:jc w:val="both"/>
        <w:rPr>
          <w:rFonts w:ascii="Calibri" w:eastAsia="Calibri" w:hAnsi="Calibri" w:cs="Times New Roman"/>
          <w:b/>
          <w:kern w:val="2"/>
          <w:highlight w:val="yellow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>: Nejedná se o závazné testování. Jde o pouhé předvedení funkčnosti nabíz</w:t>
      </w:r>
      <w:r>
        <w:rPr>
          <w:rFonts w:eastAsia="Calibri" w:cs="Times New Roman"/>
          <w:kern w:val="2"/>
          <w14:ligatures w14:val="standardContextual"/>
        </w:rPr>
        <w:t>eného CŘ PACS, bez dalších důsledků na kontrolu a hodnocení nabídek dodavatelů. Bez souhlasu dodavatele nebude předvedení provedeno.</w:t>
      </w:r>
    </w:p>
    <w:p w:rsidR="002D61B4" w:rsidRDefault="002D61B4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50BE0">
        <w:rPr>
          <w:rFonts w:eastAsia="Calibri" w:cs="Times New Roman"/>
          <w:b/>
          <w:bCs/>
          <w:kern w:val="2"/>
          <w14:ligatures w14:val="standardContextual"/>
        </w:rPr>
        <w:t>Dotaz č. 8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Zadavatel v Příloze č. 2 ZD uvádí jako jeden z požadavků na DICOM prohlížeč: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“ Pokročilé vyhledávání testů pomo</w:t>
      </w:r>
      <w:r>
        <w:rPr>
          <w:rFonts w:eastAsia="Calibri" w:cs="Times New Roman"/>
          <w:kern w:val="2"/>
          <w14:ligatures w14:val="standardContextual"/>
        </w:rPr>
        <w:t>cí dotazů s logickými operátory "a" a "nebo" umožňující zobrazení testů, které splňují následující podmínky: - začíná - je - není - končí - obsahuje - neobsahuje“.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Chápeme správně že se jedná o vyhledávání testů v rámci Vědeckého archivu, které lze vytváře</w:t>
      </w:r>
      <w:r>
        <w:rPr>
          <w:rFonts w:eastAsia="Calibri" w:cs="Times New Roman"/>
          <w:kern w:val="2"/>
          <w14:ligatures w14:val="standardContextual"/>
        </w:rPr>
        <w:t>t pro výukové účely? Pokud ano, neměl by tento požadavek být součástí požadavků na Vědecký archiv, včetně požadavku na možnost vytváření a editace testů v rámci anonymizované sady obrazových vyšetření?</w:t>
      </w:r>
    </w:p>
    <w:p w:rsidR="00A50BE0" w:rsidRDefault="00A50BE0">
      <w:pPr>
        <w:spacing w:line="276" w:lineRule="auto"/>
        <w:jc w:val="both"/>
        <w:rPr>
          <w:rFonts w:eastAsia="Calibri" w:cs="Times New Roman"/>
          <w:b/>
          <w:kern w:val="2"/>
          <w:highlight w:val="yellow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 xml:space="preserve">: </w:t>
      </w:r>
      <w:r w:rsidR="000F6394" w:rsidRPr="000F6394">
        <w:rPr>
          <w:rFonts w:eastAsia="Calibri" w:cs="Times New Roman"/>
          <w:kern w:val="2"/>
          <w14:ligatures w14:val="standardContextual"/>
        </w:rPr>
        <w:t>Ano, zadavatel potvrzuje, že se jedná o součást funkce pro Vědecký archiv.</w:t>
      </w:r>
    </w:p>
    <w:p w:rsidR="002D61B4" w:rsidRDefault="002D61B4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A50BE0" w:rsidRDefault="00A50BE0">
      <w:pPr>
        <w:spacing w:line="276" w:lineRule="auto"/>
        <w:jc w:val="both"/>
        <w:rPr>
          <w:rFonts w:eastAsia="Calibri" w:cs="Times New Roman"/>
          <w:b/>
          <w:bCs/>
          <w:kern w:val="2"/>
          <w14:ligatures w14:val="standardContextual"/>
        </w:rPr>
      </w:pP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>
        <w:rPr>
          <w:rFonts w:eastAsia="Calibri" w:cs="Times New Roman"/>
          <w:b/>
          <w:bCs/>
          <w:kern w:val="2"/>
          <w14:ligatures w14:val="standardContextual"/>
        </w:rPr>
        <w:t>Závěr (Dotaz/ž</w:t>
      </w:r>
      <w:r>
        <w:rPr>
          <w:rFonts w:eastAsia="Calibri" w:cs="Times New Roman"/>
          <w:b/>
          <w:bCs/>
          <w:kern w:val="2"/>
          <w14:ligatures w14:val="standardContextual"/>
        </w:rPr>
        <w:t>ádost č. 9)</w:t>
      </w:r>
    </w:p>
    <w:p w:rsidR="002D61B4" w:rsidRDefault="00A50BE0">
      <w:pPr>
        <w:spacing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eastAsia="Calibri" w:cs="Times New Roman"/>
          <w:kern w:val="2"/>
          <w14:ligatures w14:val="standardContextual"/>
        </w:rPr>
        <w:t>Vzhledem k výše uvedeným skutečnostem požadujeme úpravu zadávací dokumentace tak, aby byla v souladu se zákonem o zadávání veřejných zakázek, zákonem o zdravotních službách a nařízením GDPR, tedy požadavek na testování vypustit nebo jej upravit</w:t>
      </w:r>
      <w:r>
        <w:rPr>
          <w:rFonts w:eastAsia="Calibri" w:cs="Times New Roman"/>
          <w:kern w:val="2"/>
          <w14:ligatures w14:val="standardContextual"/>
        </w:rPr>
        <w:t xml:space="preserve"> tak, aby byl jasný, transparentní a nediskriminační.</w:t>
      </w:r>
    </w:p>
    <w:p w:rsidR="002D61B4" w:rsidRDefault="002D61B4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:rsidR="002D61B4" w:rsidRDefault="00A50BE0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Calibri" w:cs="Times New Roman"/>
          <w:b/>
          <w:kern w:val="2"/>
          <w:highlight w:val="yellow"/>
          <w14:ligatures w14:val="standardContextual"/>
        </w:rPr>
        <w:t>Odpověď zadavatele</w:t>
      </w:r>
      <w:r>
        <w:rPr>
          <w:rFonts w:eastAsia="Calibri" w:cs="Times New Roman"/>
          <w:kern w:val="2"/>
          <w14:ligatures w14:val="standardContextual"/>
        </w:rPr>
        <w:t xml:space="preserve">: V návaznosti na výše uvedené odpovědi, ve kterých zadavatel potvrdil, že testování není závazné, jedná se o předvedení funkčnosti CŘ PACS, přičemž bez souhlasu vyzvaného dodavatele </w:t>
      </w:r>
      <w:r>
        <w:rPr>
          <w:rFonts w:eastAsia="Calibri" w:cs="Times New Roman"/>
          <w:kern w:val="2"/>
          <w14:ligatures w14:val="standardContextual"/>
        </w:rPr>
        <w:t>k němu nedojde, zadavatel ponechává současné znění zadávacích podmínek. Bude-li uchazeč s předvedením CŘ PACS souhlasit, sám navrhne pravidla předvedení, místo, způsob a sledované indikátory.</w:t>
      </w:r>
    </w:p>
    <w:p w:rsidR="002D61B4" w:rsidRDefault="002D61B4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:rsidR="002D61B4" w:rsidRDefault="002D61B4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:rsidR="002D61B4" w:rsidRDefault="00A50BE0">
      <w:pPr>
        <w:spacing w:before="360" w:after="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Upozornění:</w:t>
      </w:r>
      <w:r>
        <w:rPr>
          <w:rFonts w:eastAsia="Times New Roman" w:cstheme="minorHAnsi"/>
          <w:lang w:eastAsia="cs-CZ"/>
        </w:rPr>
        <w:t xml:space="preserve"> </w:t>
      </w:r>
    </w:p>
    <w:p w:rsidR="002D61B4" w:rsidRDefault="00A50BE0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Lhůta pro podání nabídek se nemění.</w:t>
      </w:r>
    </w:p>
    <w:p w:rsidR="002D61B4" w:rsidRDefault="002D61B4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:rsidR="002D61B4" w:rsidRDefault="002D61B4">
      <w:pPr>
        <w:pStyle w:val="Bezmezer"/>
        <w:rPr>
          <w:lang w:eastAsia="cs-CZ"/>
        </w:rPr>
      </w:pPr>
    </w:p>
    <w:p w:rsidR="002D61B4" w:rsidRDefault="002D61B4">
      <w:pPr>
        <w:pStyle w:val="Bezmezer"/>
        <w:rPr>
          <w:lang w:eastAsia="cs-CZ"/>
        </w:rPr>
      </w:pPr>
    </w:p>
    <w:p w:rsidR="002D61B4" w:rsidRDefault="00A50BE0">
      <w:pPr>
        <w:pStyle w:val="Bezmezer"/>
        <w:rPr>
          <w:lang w:eastAsia="cs-CZ"/>
        </w:rPr>
      </w:pPr>
      <w:r>
        <w:rPr>
          <w:lang w:eastAsia="cs-CZ"/>
        </w:rPr>
        <w:t>V Plzni dne 26</w:t>
      </w:r>
      <w:bookmarkStart w:id="0" w:name="_GoBack"/>
      <w:bookmarkEnd w:id="0"/>
      <w:r>
        <w:rPr>
          <w:lang w:eastAsia="cs-CZ"/>
        </w:rPr>
        <w:t>. 3. 2025</w:t>
      </w:r>
    </w:p>
    <w:p w:rsidR="002D61B4" w:rsidRDefault="002D61B4">
      <w:pPr>
        <w:pStyle w:val="Bezmezer"/>
        <w:rPr>
          <w:b/>
          <w:lang w:eastAsia="cs-CZ"/>
        </w:rPr>
      </w:pPr>
    </w:p>
    <w:p w:rsidR="002D61B4" w:rsidRDefault="00A50BE0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:rsidR="002D61B4" w:rsidRDefault="00A50BE0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:rsidR="002D61B4" w:rsidRDefault="00A50BE0">
      <w:pPr>
        <w:spacing w:after="0" w:line="240" w:lineRule="auto"/>
      </w:pPr>
      <w:r>
        <w:rPr>
          <w:rFonts w:eastAsia="Calibri" w:cstheme="minorHAnsi"/>
          <w:lang w:eastAsia="cs-CZ"/>
        </w:rPr>
        <w:t>Centrální nákup Plzeňského kraje, příspěvková organizace</w:t>
      </w:r>
    </w:p>
    <w:sectPr w:rsidR="002D61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851" w:bottom="851" w:left="851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50BE0">
      <w:pPr>
        <w:spacing w:after="0" w:line="240" w:lineRule="auto"/>
      </w:pPr>
      <w:r>
        <w:separator/>
      </w:r>
    </w:p>
  </w:endnote>
  <w:endnote w:type="continuationSeparator" w:id="0">
    <w:p w:rsidR="00000000" w:rsidRDefault="00A5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471014"/>
      <w:docPartObj>
        <w:docPartGallery w:val="Page Numbers (Bottom of Page)"/>
        <w:docPartUnique/>
      </w:docPartObj>
    </w:sdtPr>
    <w:sdtEndPr/>
    <w:sdtContent>
      <w:p w:rsidR="002D61B4" w:rsidRDefault="00A50BE0">
        <w:pPr>
          <w:pStyle w:val="Zpa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2D61B4" w:rsidRDefault="002D61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515627"/>
      <w:docPartObj>
        <w:docPartGallery w:val="Page Numbers (Bottom of Page)"/>
        <w:docPartUnique/>
      </w:docPartObj>
    </w:sdtPr>
    <w:sdtEndPr/>
    <w:sdtContent>
      <w:p w:rsidR="002D61B4" w:rsidRDefault="00A50BE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61B4" w:rsidRDefault="002D61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50BE0">
      <w:pPr>
        <w:spacing w:after="0" w:line="240" w:lineRule="auto"/>
      </w:pPr>
      <w:r>
        <w:separator/>
      </w:r>
    </w:p>
  </w:footnote>
  <w:footnote w:type="continuationSeparator" w:id="0">
    <w:p w:rsidR="00000000" w:rsidRDefault="00A5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B4" w:rsidRDefault="002D61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1B4" w:rsidRDefault="002D61B4">
    <w:pPr>
      <w:pStyle w:val="Zhlav"/>
      <w:tabs>
        <w:tab w:val="clear" w:pos="4536"/>
        <w:tab w:val="left" w:pos="1725"/>
        <w:tab w:val="left" w:pos="6804"/>
      </w:tabs>
      <w:spacing w:before="120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7E0"/>
    <w:multiLevelType w:val="multilevel"/>
    <w:tmpl w:val="03CAC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A61DA6"/>
    <w:multiLevelType w:val="multilevel"/>
    <w:tmpl w:val="4210B5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84F60"/>
    <w:multiLevelType w:val="multilevel"/>
    <w:tmpl w:val="C186C9F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A03859"/>
    <w:multiLevelType w:val="multilevel"/>
    <w:tmpl w:val="C6B248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64761B"/>
    <w:multiLevelType w:val="multilevel"/>
    <w:tmpl w:val="964082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2156DE"/>
    <w:multiLevelType w:val="multilevel"/>
    <w:tmpl w:val="81DC36DC"/>
    <w:lvl w:ilvl="0">
      <w:start w:val="1"/>
      <w:numFmt w:val="bullet"/>
      <w:lvlText w:val="-"/>
      <w:lvlJc w:val="left"/>
      <w:pPr>
        <w:ind w:left="2563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B4"/>
    <w:rsid w:val="000F6394"/>
    <w:rsid w:val="002D61B4"/>
    <w:rsid w:val="00A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1664C-2A71-4CE9-A217-67668E8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F0732"/>
  </w:style>
  <w:style w:type="character" w:customStyle="1" w:styleId="ZpatChar">
    <w:name w:val="Zápatí Char"/>
    <w:basedOn w:val="Standardnpsmoodstavce"/>
    <w:link w:val="Zpat"/>
    <w:uiPriority w:val="99"/>
    <w:qFormat/>
    <w:rsid w:val="005F0732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702FF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702F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1A8B"/>
    <w:rPr>
      <w:rFonts w:ascii="Cambria" w:eastAsia="Cambria" w:hAnsi="Cambria" w:cs="Times New Roman"/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unhideWhenUsed/>
    <w:rsid w:val="00836D1E"/>
    <w:rPr>
      <w:color w:val="0563C1" w:themeColor="hyperlink"/>
      <w:u w:val="single"/>
    </w:rPr>
  </w:style>
  <w:style w:type="character" w:customStyle="1" w:styleId="BezmezerChar">
    <w:name w:val="Bez mezer Char"/>
    <w:link w:val="Bezmezer"/>
    <w:uiPriority w:val="1"/>
    <w:qFormat/>
    <w:rsid w:val="00264A88"/>
  </w:style>
  <w:style w:type="character" w:customStyle="1" w:styleId="ListLabel1">
    <w:name w:val="ListLabel 1"/>
    <w:qFormat/>
    <w:rPr>
      <w:rFonts w:eastAsia="Cambria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ascii="Calibri" w:eastAsia="Calibri" w:hAnsi="Calibri" w:cs="Calibri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Calibri" w:eastAsia="Calibri" w:hAnsi="Calibri" w:cs="Calibri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ascii="Calibri" w:eastAsia="Calibri" w:hAnsi="Calibri" w:cs="Calibri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Calibri" w:eastAsia="Calibri" w:hAnsi="Calibri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Calibri" w:eastAsia="Times New Roman" w:hAnsi="Calibri" w:cs="Times New Roman"/>
      <w:b/>
      <w:sz w:val="20"/>
      <w:lang w:eastAsia="cs-CZ"/>
    </w:rPr>
  </w:style>
  <w:style w:type="character" w:customStyle="1" w:styleId="ListLabel36">
    <w:name w:val="ListLabel 36"/>
    <w:qFormat/>
    <w:rPr>
      <w:rFonts w:ascii="Calibri" w:eastAsia="Times New Roman" w:hAnsi="Calibri" w:cs="Times New Roman"/>
      <w:sz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paragraph" w:styleId="Bezmezer">
    <w:name w:val="No Spacing"/>
    <w:link w:val="BezmezerChar"/>
    <w:uiPriority w:val="1"/>
    <w:qFormat/>
    <w:rsid w:val="004C1A8B"/>
  </w:style>
  <w:style w:type="paragraph" w:styleId="Odstavecseseznamem">
    <w:name w:val="List Paragraph"/>
    <w:basedOn w:val="Normln"/>
    <w:uiPriority w:val="34"/>
    <w:qFormat/>
    <w:rsid w:val="00122899"/>
    <w:pPr>
      <w:ind w:left="720"/>
      <w:contextualSpacing/>
    </w:pPr>
  </w:style>
  <w:style w:type="paragraph" w:styleId="Revize">
    <w:name w:val="Revision"/>
    <w:uiPriority w:val="99"/>
    <w:semiHidden/>
    <w:qFormat/>
    <w:rsid w:val="005248DD"/>
  </w:style>
  <w:style w:type="table" w:styleId="Mkatabulky">
    <w:name w:val="Table Grid"/>
    <w:basedOn w:val="Normlntabulka"/>
    <w:uiPriority w:val="39"/>
    <w:rsid w:val="005F0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F702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cs/notice/-/detail/43496-2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2116c0c8-d813-4dbd-8f3d-03c5c24433c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chard.volin@cnp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qrJy+PuDGyYWUzgf9gyj/R6iNgo+s4ysl0ol3sgvgqk=</DigestValue>
    </Reference>
    <Reference Type="http://www.w3.org/2000/09/xmldsig#Object" URI="#idOfficeObject">
      <DigestMethod Algorithm="http://www.w3.org/2001/04/xmlenc#sha256"/>
      <DigestValue>VfgTBw9kIm4rN9s6QX0o4eMKNNgLyKBS2UnRXTLeZh4=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z9kcOeo+OLLbvpAhdTHgXCvbFvTodCzog+0bFUUxnnQ=</DigestValue>
    </Reference>
  </SignedInfo>
  <SignatureValue>t8V1broTZM5GhHywto14YoOCZmaDDllt4N8DNfh9LOWc4W5Tr9pSF3rud3zInmKzNnacbmnBluDn
wCGzLnyWHqpdpmMD2tqaGFoUaUZjaWXn8qdqA4toImxSLInTz1F3Ye17XyemeCNbEB3CZZNttA1t
0ZnvUkK/ipAmen8lkYjya/kWBkMBBuwyGTTYTMUtFCZBt1jZb27sv4YGdzkpgcgxO1DHATECm2gP
nz0XI7UoJQdrhgTmJ7PxvrUSgPk8rVbE8Qgf2AOvFq6p11gpvJ6sP2vk6a35rY4uW/guZerNPqv3
0yWrsjqV0QPmV6RquuDxCCmD3uRb63IcTwLwyQ==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UBBr5p22pN9j2jqMW5/8NPBtPgvXV0oObtjczflibaM=</DigestValue>
      </Reference>
      <Reference URI="/word/document.xml?ContentType=application/vnd.openxmlformats-officedocument.wordprocessingml.document.main+xml">
        <DigestMethod Algorithm="http://www.w3.org/2001/04/xmlenc#sha256"/>
        <DigestValue>MNjwmZASH9W6/zgJa0gVtitejO41ANIQtU2jDDKTmmg=</DigestValue>
      </Reference>
      <Reference URI="/word/endnotes.xml?ContentType=application/vnd.openxmlformats-officedocument.wordprocessingml.endnotes+xml">
        <DigestMethod Algorithm="http://www.w3.org/2001/04/xmlenc#sha256"/>
        <DigestValue>prOqTUlrNI6Ii1+dF9USozVbk1udTz1xgZt4MxZ/WSQ=</DigestValue>
      </Reference>
      <Reference URI="/word/fontTable.xml?ContentType=application/vnd.openxmlformats-officedocument.wordprocessingml.fontTable+xml">
        <DigestMethod Algorithm="http://www.w3.org/2001/04/xmlenc#sha256"/>
        <DigestValue>xIBPfbYLsLiyJRiqL4gGqc4uVtxatejsIEkeNYDiam4=</DigestValue>
      </Reference>
      <Reference URI="/word/footer1.xml?ContentType=application/vnd.openxmlformats-officedocument.wordprocessingml.footer+xml">
        <DigestMethod Algorithm="http://www.w3.org/2001/04/xmlenc#sha256"/>
        <DigestValue>nJrPzWEodOudMWsCiBsazdeYDBhXlQ4L0Aj77Vx2Ejk=</DigestValue>
      </Reference>
      <Reference URI="/word/footer2.xml?ContentType=application/vnd.openxmlformats-officedocument.wordprocessingml.footer+xml">
        <DigestMethod Algorithm="http://www.w3.org/2001/04/xmlenc#sha256"/>
        <DigestValue>qj4lTN2LGEQ40Mw9Kb7o8Fwdn2Gf1G79Wq1cEyenEjY=</DigestValue>
      </Reference>
      <Reference URI="/word/footnotes.xml?ContentType=application/vnd.openxmlformats-officedocument.wordprocessingml.footnotes+xml">
        <DigestMethod Algorithm="http://www.w3.org/2001/04/xmlenc#sha256"/>
        <DigestValue>4LY8us1Bc1NnuQ8jghej+4n1o/nTGJZT7FugD2HuXRQ=</DigestValue>
      </Reference>
      <Reference URI="/word/header1.xml?ContentType=application/vnd.openxmlformats-officedocument.wordprocessingml.header+xml">
        <DigestMethod Algorithm="http://www.w3.org/2001/04/xmlenc#sha256"/>
        <DigestValue>HDY+h51uQ8WszvVN+Hqy0ztLhSlNr7j1KZJ46Hu/uKw=</DigestValue>
      </Reference>
      <Reference URI="/word/header2.xml?ContentType=application/vnd.openxmlformats-officedocument.wordprocessingml.header+xml">
        <DigestMethod Algorithm="http://www.w3.org/2001/04/xmlenc#sha256"/>
        <DigestValue>5RyR4aHYBHOLxGuHkeCqB8ODHjUUcWTNybnjxQ7Lyss=</DigestValue>
      </Reference>
      <Reference URI="/word/numbering.xml?ContentType=application/vnd.openxmlformats-officedocument.wordprocessingml.numbering+xml">
        <DigestMethod Algorithm="http://www.w3.org/2001/04/xmlenc#sha256"/>
        <DigestValue>/Z3P36LMbOAd4N0W1nLJHqdRBGGWhyXD6tfbgFTJeWs=</DigestValue>
      </Reference>
      <Reference URI="/word/settings.xml?ContentType=application/vnd.openxmlformats-officedocument.wordprocessingml.settings+xml">
        <DigestMethod Algorithm="http://www.w3.org/2001/04/xmlenc#sha256"/>
        <DigestValue>2zbLG/S6Mo0v9lxX86CRQ3E8BAjytExlafweOYk6rHA=</DigestValue>
      </Reference>
      <Reference URI="/word/styles.xml?ContentType=application/vnd.openxmlformats-officedocument.wordprocessingml.styles+xml">
        <DigestMethod Algorithm="http://www.w3.org/2001/04/xmlenc#sha256"/>
        <DigestValue>2IztRRW/CGL3mP9oF7THimeiflFKLbvDToKAhCVPDJY=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2025-03-26T12:02:30Z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1600</HorizontalResolution>
          <VerticalResolution>1280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2025-03-26T12:02:30Z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dc:description/>
  <cp:lastModifiedBy>Richard Volín</cp:lastModifiedBy>
  <cp:revision>3</cp:revision>
  <dcterms:created xsi:type="dcterms:W3CDTF">2025-03-26T11:57:00Z</dcterms:created>
  <dcterms:modified xsi:type="dcterms:W3CDTF">2025-03-26T12:01:00Z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